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BFE6">
      <w:pPr>
        <w:jc w:val="left"/>
        <w:rPr>
          <w:rFonts w:hint="eastAsia"/>
          <w:sz w:val="24"/>
          <w:szCs w:val="24"/>
        </w:rPr>
      </w:pPr>
      <w:bookmarkStart w:id="2" w:name="_GoBack"/>
      <w:bookmarkEnd w:id="2"/>
      <w:r>
        <w:rPr>
          <w:rFonts w:hint="eastAsia"/>
          <w:sz w:val="24"/>
          <w:szCs w:val="24"/>
        </w:rPr>
        <w:t>附件：</w:t>
      </w:r>
      <w:r>
        <w:rPr>
          <w:sz w:val="24"/>
          <w:szCs w:val="24"/>
        </w:rPr>
        <w:t>采购需求</w:t>
      </w:r>
    </w:p>
    <w:p w14:paraId="61C7AEB5">
      <w:pPr>
        <w:jc w:val="center"/>
        <w:rPr>
          <w:b/>
          <w:sz w:val="32"/>
          <w:szCs w:val="32"/>
        </w:rPr>
      </w:pPr>
    </w:p>
    <w:p w14:paraId="1DD66339">
      <w:pPr>
        <w:jc w:val="center"/>
        <w:rPr>
          <w:b/>
          <w:sz w:val="32"/>
          <w:szCs w:val="32"/>
        </w:rPr>
      </w:pPr>
      <w:r>
        <w:rPr>
          <w:rFonts w:hint="eastAsia"/>
          <w:b/>
          <w:sz w:val="32"/>
          <w:szCs w:val="32"/>
        </w:rPr>
        <w:t>采购</w:t>
      </w:r>
      <w:r>
        <w:rPr>
          <w:b/>
          <w:sz w:val="32"/>
          <w:szCs w:val="32"/>
        </w:rPr>
        <w:t>需求</w:t>
      </w:r>
    </w:p>
    <w:p w14:paraId="521FA8F1"/>
    <w:tbl>
      <w:tblPr>
        <w:tblStyle w:val="3"/>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0" w:type="dxa"/>
          <w:left w:w="128" w:type="dxa"/>
          <w:bottom w:w="80" w:type="dxa"/>
          <w:right w:w="128" w:type="dxa"/>
        </w:tblCellMar>
      </w:tblPr>
      <w:tblGrid>
        <w:gridCol w:w="2"/>
        <w:gridCol w:w="1813"/>
        <w:gridCol w:w="3688"/>
        <w:gridCol w:w="2213"/>
        <w:gridCol w:w="844"/>
        <w:gridCol w:w="14"/>
      </w:tblGrid>
      <w:tr w14:paraId="1EB5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gridAfter w:val="1"/>
          <w:wAfter w:w="8" w:type="pct"/>
          <w:trHeight w:val="0" w:hRule="atLeast"/>
          <w:jc w:val="center"/>
        </w:trPr>
        <w:tc>
          <w:tcPr>
            <w:tcW w:w="4991" w:type="pct"/>
            <w:gridSpan w:val="5"/>
            <w:vAlign w:val="center"/>
          </w:tcPr>
          <w:p w14:paraId="1EF0E2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color w:val="000000" w:themeColor="text1"/>
                <w:lang w:val="en-US" w:eastAsia="zh-CN"/>
                <w14:textFill>
                  <w14:solidFill>
                    <w14:schemeClr w14:val="tx1"/>
                  </w14:solidFill>
                </w14:textFill>
              </w:rPr>
            </w:pPr>
            <w:r>
              <w:rPr>
                <w:rFonts w:hint="eastAsia" w:asciiTheme="minorEastAsia" w:hAnsiTheme="minorEastAsia" w:cstheme="minorEastAsia"/>
                <w:b/>
                <w:bCs/>
                <w:sz w:val="24"/>
                <w:szCs w:val="24"/>
                <w:vertAlign w:val="baseline"/>
                <w:lang w:val="en-US" w:eastAsia="zh-CN"/>
              </w:rPr>
              <w:t>包一</w:t>
            </w:r>
          </w:p>
        </w:tc>
      </w:tr>
      <w:tr w14:paraId="58DB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gridAfter w:val="1"/>
          <w:wAfter w:w="8" w:type="pct"/>
          <w:trHeight w:val="8809" w:hRule="atLeast"/>
          <w:jc w:val="center"/>
        </w:trPr>
        <w:tc>
          <w:tcPr>
            <w:tcW w:w="4991" w:type="pct"/>
            <w:gridSpan w:val="5"/>
            <w:vAlign w:val="center"/>
          </w:tcPr>
          <w:p w14:paraId="448A09A3">
            <w:pPr>
              <w:snapToGrid w:val="0"/>
            </w:pPr>
          </w:p>
          <w:p w14:paraId="39A4722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第一节 技术要求</w:t>
            </w:r>
          </w:p>
          <w:p w14:paraId="156F94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1.监护仪主机采用无风扇设计，所有监测参数功能模块均需内置于主机内部（一体化结构设计），坚固耐用；（提供彩页证明材料复印件并加盖供应商单位鲜章）</w:t>
            </w:r>
          </w:p>
          <w:p w14:paraId="2DE5A6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2.主机平放具备10度屏幕仰角，方便医护人员观察监测界面；</w:t>
            </w:r>
          </w:p>
          <w:p w14:paraId="67C980B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3.采用≥10英寸彩色LED显示屏，7通道波形显示，可选配触摸屏；</w:t>
            </w:r>
          </w:p>
          <w:p w14:paraId="51164E3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4.标准配置可监测心电，呼吸，无创血压，血氧饱和度，脉搏和体温；</w:t>
            </w:r>
          </w:p>
          <w:p w14:paraId="1ECAD3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ECG采用</w:t>
            </w:r>
            <w:r>
              <w:rPr>
                <w:rFonts w:hint="eastAsia"/>
                <w:color w:val="000000" w:themeColor="text1"/>
                <w:lang w:val="en-US" w:eastAsia="zh-CN"/>
                <w14:textFill>
                  <w14:solidFill>
                    <w14:schemeClr w14:val="tx1"/>
                  </w14:solidFill>
                </w14:textFill>
              </w:rPr>
              <w:t>大于等于三导实时动态同步分析技术，</w:t>
            </w:r>
            <w:r>
              <w:rPr>
                <w:rFonts w:hint="eastAsia"/>
                <w:color w:val="000000" w:themeColor="text1"/>
                <w14:textFill>
                  <w14:solidFill>
                    <w14:schemeClr w14:val="tx1"/>
                  </w14:solidFill>
                </w14:textFill>
              </w:rPr>
              <w:t>有效减少监护仪的误报警和漏报警等情况的发生，避免临床决策失误；</w:t>
            </w:r>
          </w:p>
          <w:p w14:paraId="4DBBC2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.具备智能导联脱落监测功能；（提供说明书证明材料复印件并加盖供应商单位鲜章）</w:t>
            </w:r>
          </w:p>
          <w:p w14:paraId="6B93FED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.支持不少于20种实时心律失常分析报警，并包括房颤报警（非心电静息分析，无需导入中央站即可实现监测分析）；</w:t>
            </w:r>
          </w:p>
          <w:p w14:paraId="6418BDC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.采用的数字血氧探头和监护仪主机是相同品牌的，以保证血氧监测的兼容性和准确性，可显示PI血氧灌注指数，有效反映血氧灌注情况；</w:t>
            </w:r>
          </w:p>
          <w:p w14:paraId="391E1E6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.NIBP收缩压范围：成人：25-290 mmHg；小儿：25-240 mmHg；新生儿：25-140mmHg；</w:t>
            </w:r>
          </w:p>
          <w:p w14:paraId="371F008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.舒张压范围：成人：10-250 mmHg； 小儿：10-200 mmHg；新生儿：10-115mmHg；</w:t>
            </w:r>
          </w:p>
          <w:p w14:paraId="5D577D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平均压范围：成人：15-260 mmHg；小儿：15-215 mmHg；新生儿：15-125mmHg</w:t>
            </w:r>
          </w:p>
          <w:p w14:paraId="4850F44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脉率范围：30-300 bpm；</w:t>
            </w:r>
          </w:p>
          <w:p w14:paraId="55BD88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.标配一块锂电池，单块锂电池续航能力不低于4小时，同时可选配高容量锂电池，单块高容量锂电池续航能力不低于6小时；</w:t>
            </w:r>
          </w:p>
          <w:p w14:paraId="2EA4D9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.支持血压动态分析功能，针对最近24小时的所有NIBP测量数据进行基本的统计分析，并支持显示和打印；</w:t>
            </w:r>
          </w:p>
          <w:p w14:paraId="5ECCD4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.可以选配支持IPX7防水的血氧探头，支持水下测量；</w:t>
            </w:r>
          </w:p>
          <w:p w14:paraId="6BAD107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.NIBP可选择初始充气压力，提升测量的准确性和患者舒适性，同时支持血氧和血压同侧监测；</w:t>
            </w:r>
          </w:p>
          <w:p w14:paraId="7EFD64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.可以选配采用超声缝合无内胆设计的NIBP袖带，能够进行水洗清洁和侵泡消毒；</w:t>
            </w:r>
          </w:p>
          <w:p w14:paraId="432617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.采用收纳盒设计，使附件管理更加高效；（提供彩页证明材料复印件并加盖供应商单位鲜章）</w:t>
            </w:r>
          </w:p>
          <w:p w14:paraId="51B476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.可保存1200小时的趋势数据；48小时全息波形回顾；1800个报警事件；1600组NIBP测量的数据存储和回顾功能；（提供说明书证明材料复印件并加盖供应商单位鲜章）</w:t>
            </w:r>
          </w:p>
          <w:p w14:paraId="337F664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.监护仪材料防火等级可达最高V-0级别，通过UL防火测试，通过CE认证。</w:t>
            </w:r>
          </w:p>
          <w:p w14:paraId="45D3C30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w:t>
            </w:r>
            <w:r>
              <w:rPr>
                <w:rFonts w:hint="eastAsia" w:ascii="宋体" w:hAnsi="宋体" w:eastAsia="宋体" w:cs="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支持监护仪的系统日志，通过U 盘导出，日志包括系统状态，异常、和技术报警。满足设备管理的日常维护需求（提供说明书，证明文件）</w:t>
            </w:r>
          </w:p>
          <w:p w14:paraId="4F851C17">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jc w:val="center"/>
              <w:textAlignment w:val="auto"/>
              <w:outlineLvl w:val="0"/>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商务要求</w:t>
            </w:r>
          </w:p>
          <w:p w14:paraId="328B0417">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rPr>
            </w:pPr>
            <w:r>
              <w:rPr>
                <w:rFonts w:hint="eastAsia" w:ascii="宋体" w:hAnsi="宋体"/>
                <w:szCs w:val="21"/>
              </w:rPr>
              <w:t>1、运输、安装、调试：由成交供应商负责承担,最终通过用户及有关部门验收交付使用。</w:t>
            </w:r>
          </w:p>
          <w:p w14:paraId="4525CC03">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rPr>
            </w:pPr>
            <w:r>
              <w:rPr>
                <w:rFonts w:hint="eastAsia" w:ascii="宋体" w:hAnsi="宋体"/>
                <w:szCs w:val="21"/>
              </w:rPr>
              <w:t>2、交货时间：合同签订后10个工作日内完成运输、安装调试并交付使用。</w:t>
            </w:r>
          </w:p>
          <w:p w14:paraId="55A9A2D2">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rPr>
            </w:pPr>
            <w:r>
              <w:rPr>
                <w:rFonts w:hint="eastAsia" w:ascii="宋体" w:hAnsi="宋体"/>
                <w:szCs w:val="21"/>
              </w:rPr>
              <w:t xml:space="preserve">3、交货地点：娄底市中医医院  </w:t>
            </w:r>
          </w:p>
          <w:p w14:paraId="71E97FC0">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rPr>
            </w:pPr>
            <w:r>
              <w:rPr>
                <w:rFonts w:hint="eastAsia" w:ascii="宋体" w:hAnsi="宋体"/>
                <w:szCs w:val="21"/>
              </w:rPr>
              <w:t>4、付款方式：货到验收、发票入账后</w:t>
            </w:r>
            <w:r>
              <w:rPr>
                <w:rFonts w:hint="eastAsia" w:ascii="宋体" w:hAnsi="宋体"/>
                <w:szCs w:val="21"/>
                <w:lang w:val="en-US" w:eastAsia="zh-CN"/>
              </w:rPr>
              <w:t>1</w:t>
            </w:r>
            <w:r>
              <w:rPr>
                <w:rFonts w:hint="eastAsia" w:ascii="宋体" w:hAnsi="宋体"/>
                <w:szCs w:val="21"/>
              </w:rPr>
              <w:t>个月</w:t>
            </w:r>
            <w:r>
              <w:rPr>
                <w:rFonts w:hint="eastAsia" w:ascii="宋体" w:hAnsi="宋体"/>
                <w:szCs w:val="21"/>
                <w:lang w:eastAsia="zh-CN"/>
              </w:rPr>
              <w:t>内</w:t>
            </w:r>
            <w:r>
              <w:rPr>
                <w:rFonts w:hint="eastAsia" w:ascii="宋体" w:hAnsi="宋体"/>
                <w:szCs w:val="21"/>
              </w:rPr>
              <w:t>支付到总货款的90%，余款无质量问题及维保、巡检符合招标文件要求后1年后付清。</w:t>
            </w:r>
          </w:p>
          <w:p w14:paraId="75516990">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rPr>
            </w:pPr>
            <w:r>
              <w:rPr>
                <w:rFonts w:hint="eastAsia" w:ascii="宋体" w:hAnsi="宋体"/>
                <w:szCs w:val="21"/>
              </w:rPr>
              <w:t>5、质保期不少于1年。</w:t>
            </w:r>
          </w:p>
          <w:p w14:paraId="640804F2">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rPr>
            </w:pPr>
            <w:r>
              <w:rPr>
                <w:rFonts w:ascii="宋体" w:hAnsi="宋体"/>
                <w:szCs w:val="21"/>
                <w:lang w:val="en"/>
              </w:rPr>
              <w:t>6</w:t>
            </w:r>
            <w:r>
              <w:rPr>
                <w:rFonts w:hint="eastAsia" w:ascii="宋体" w:hAnsi="宋体"/>
                <w:szCs w:val="21"/>
                <w:lang w:val="en"/>
              </w:rPr>
              <w:t>、</w:t>
            </w:r>
            <w:r>
              <w:rPr>
                <w:rFonts w:hint="eastAsia" w:ascii="宋体" w:hAnsi="宋体"/>
                <w:szCs w:val="21"/>
              </w:rPr>
              <w:t>质保期内不少于</w:t>
            </w:r>
            <w:r>
              <w:rPr>
                <w:rFonts w:hint="eastAsia" w:ascii="宋体" w:hAnsi="宋体"/>
                <w:szCs w:val="21"/>
                <w:lang w:val="en-US" w:eastAsia="zh-CN"/>
              </w:rPr>
              <w:t>2</w:t>
            </w:r>
            <w:r>
              <w:rPr>
                <w:rFonts w:hint="eastAsia" w:ascii="宋体" w:hAnsi="宋体"/>
                <w:szCs w:val="21"/>
              </w:rPr>
              <w:t>次/年的巡检及维保工作，并由使用科室和医学装备部双签名确认。</w:t>
            </w:r>
          </w:p>
          <w:p w14:paraId="01F8CFDF">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rPr>
            </w:pPr>
            <w:r>
              <w:rPr>
                <w:rFonts w:hint="eastAsia" w:ascii="宋体" w:hAnsi="宋体"/>
                <w:szCs w:val="21"/>
              </w:rPr>
              <w:t>7、提供详细配置清单，提供易耗品清单及单价（若有）。</w:t>
            </w:r>
          </w:p>
          <w:p w14:paraId="32193FE5">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rPr>
            </w:pPr>
            <w:r>
              <w:rPr>
                <w:rFonts w:hint="eastAsia" w:ascii="宋体" w:hAnsi="宋体"/>
                <w:szCs w:val="21"/>
              </w:rPr>
              <w:t>8、提供所投产品厂方技术参数等证明材料。</w:t>
            </w:r>
          </w:p>
          <w:p w14:paraId="56D6CAEE">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rPr>
            </w:pPr>
            <w:r>
              <w:rPr>
                <w:rFonts w:hint="eastAsia" w:ascii="宋体" w:hAnsi="宋体"/>
                <w:szCs w:val="21"/>
              </w:rPr>
              <w:t>9、培训：所有设备须提供不少于3次的现场操作培训（而且不限于现场操作指导、跟台技术指导），直到医院科室该设备操作人员熟练操作使用为止。</w:t>
            </w:r>
          </w:p>
          <w:p w14:paraId="2AB24031">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rPr>
            </w:pPr>
            <w:r>
              <w:rPr>
                <w:rFonts w:hint="eastAsia" w:ascii="宋体" w:hAnsi="宋体"/>
                <w:szCs w:val="21"/>
              </w:rPr>
              <w:t>10、满足第二章投标人须知前附表要求和第三章采购合同条款要求。</w:t>
            </w:r>
          </w:p>
          <w:p w14:paraId="1DE2FF4D">
            <w:pPr>
              <w:keepNext w:val="0"/>
              <w:keepLines w:val="0"/>
              <w:pageBreakBefore w:val="0"/>
              <w:widowControl w:val="0"/>
              <w:kinsoku/>
              <w:wordWrap/>
              <w:overflowPunct/>
              <w:topLinePunct w:val="0"/>
              <w:autoSpaceDE/>
              <w:autoSpaceDN/>
              <w:bidi w:val="0"/>
              <w:adjustRightInd/>
              <w:snapToGrid w:val="0"/>
              <w:spacing w:line="360" w:lineRule="auto"/>
              <w:ind w:right="-248" w:rightChars="-118"/>
              <w:textAlignment w:val="auto"/>
              <w:rPr>
                <w:rFonts w:hint="eastAsia" w:ascii="宋体" w:hAnsi="宋体"/>
                <w:szCs w:val="21"/>
                <w:lang w:val="en-US" w:eastAsia="zh-CN"/>
              </w:rPr>
            </w:pPr>
            <w:r>
              <w:rPr>
                <w:rFonts w:hint="eastAsia" w:ascii="宋体" w:hAnsi="宋体"/>
                <w:szCs w:val="21"/>
              </w:rPr>
              <w:t>11、交货时设备使用说明书、合格证、装箱清单等资料提供2份（原件、复印件各1份，使用科室、医学装备部各1份）</w:t>
            </w:r>
          </w:p>
        </w:tc>
      </w:tr>
      <w:tr w14:paraId="3D76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gridAfter w:val="1"/>
          <w:wAfter w:w="8" w:type="pct"/>
          <w:trHeight w:val="90" w:hRule="atLeast"/>
          <w:jc w:val="center"/>
        </w:trPr>
        <w:tc>
          <w:tcPr>
            <w:tcW w:w="4991" w:type="pct"/>
            <w:gridSpan w:val="5"/>
            <w:vAlign w:val="center"/>
          </w:tcPr>
          <w:p w14:paraId="733E353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sz w:val="24"/>
                <w:szCs w:val="24"/>
                <w:vertAlign w:val="baseline"/>
                <w:lang w:val="en-US" w:eastAsia="zh-CN"/>
              </w:rPr>
              <w:t>包二</w:t>
            </w:r>
          </w:p>
        </w:tc>
      </w:tr>
      <w:tr w14:paraId="43E0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gridAfter w:val="1"/>
          <w:wAfter w:w="8" w:type="pct"/>
          <w:trHeight w:val="412" w:hRule="atLeast"/>
          <w:jc w:val="center"/>
        </w:trPr>
        <w:tc>
          <w:tcPr>
            <w:tcW w:w="4991" w:type="pct"/>
            <w:gridSpan w:val="5"/>
            <w:vAlign w:val="center"/>
          </w:tcPr>
          <w:p w14:paraId="17D9E4A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第一节 </w:t>
            </w:r>
            <w:r>
              <w:rPr>
                <w:rFonts w:hint="eastAsia" w:asciiTheme="minorEastAsia" w:hAnsiTheme="minorEastAsia" w:eastAsiaTheme="minorEastAsia" w:cstheme="minorEastAsia"/>
                <w:b/>
                <w:bCs/>
                <w:sz w:val="24"/>
                <w:szCs w:val="24"/>
                <w:vertAlign w:val="baseline"/>
                <w:lang w:val="en-US" w:eastAsia="zh-CN"/>
              </w:rPr>
              <w:t>技术指标</w:t>
            </w:r>
          </w:p>
          <w:p w14:paraId="0C80B4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配置要求：国产cpu/32核心*2/32G*8/1,2TSAS*3+480GSSD/SR430/4*GE/900W*2</w:t>
            </w:r>
          </w:p>
        </w:tc>
      </w:tr>
      <w:tr w14:paraId="2E00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gridAfter w:val="1"/>
          <w:wAfter w:w="8" w:type="pct"/>
          <w:trHeight w:val="2175" w:hRule="atLeast"/>
          <w:jc w:val="center"/>
        </w:trPr>
        <w:tc>
          <w:tcPr>
            <w:tcW w:w="4991" w:type="pct"/>
            <w:gridSpan w:val="5"/>
            <w:vAlign w:val="center"/>
          </w:tcPr>
          <w:p w14:paraId="6B8AA7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outlineLvl w:val="0"/>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 xml:space="preserve">第二节 </w:t>
            </w:r>
            <w:r>
              <w:rPr>
                <w:rFonts w:hint="eastAsia" w:asciiTheme="minorEastAsia" w:hAnsiTheme="minorEastAsia" w:eastAsiaTheme="minorEastAsia" w:cstheme="minorEastAsia"/>
                <w:b/>
                <w:bCs/>
                <w:sz w:val="24"/>
                <w:szCs w:val="24"/>
                <w:vertAlign w:val="baseline"/>
                <w:lang w:val="en-US" w:eastAsia="zh-CN"/>
              </w:rPr>
              <w:t>商务要求</w:t>
            </w:r>
          </w:p>
          <w:p w14:paraId="5755D2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1、要求中标方在签订合同后货到1天内完成安装调试，并且完成湖南省检查检验互认平台部署调试，如未能在约定时间内完成责由甲方有权更换供应商，无需进行任何补偿。</w:t>
            </w:r>
          </w:p>
          <w:p w14:paraId="7E58A38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2.项目实施</w:t>
            </w:r>
          </w:p>
          <w:p w14:paraId="3DB56C6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2.1结合医院实际情况，拟定详细的系统实施计划，含测试、试运行、培训及上线计划。承诺在合同规定时间内上线及上线系统的稳定性。</w:t>
            </w:r>
          </w:p>
          <w:p w14:paraId="19BB2C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2.3在项目实施过程中，采购人根据实际需求提出软件更改的要求，中标人应尽量予以满足，如有重大需求变更，须经使用科室和信息中心确认后方可实施。</w:t>
            </w:r>
          </w:p>
          <w:p w14:paraId="057E5CC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3.培训服务</w:t>
            </w:r>
          </w:p>
          <w:p w14:paraId="16B316D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培训内容包括系统功能操作、业务流程、常见问题处理等方面，确保相关人员能够熟练掌握并运用系统开展工作。</w:t>
            </w:r>
          </w:p>
          <w:p w14:paraId="5639310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4.售后服务</w:t>
            </w:r>
          </w:p>
          <w:p w14:paraId="7C60A72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4.1提供从验收合格之日起一年的免费维保服务。</w:t>
            </w:r>
          </w:p>
          <w:p w14:paraId="0EDBA90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4.2提供7*24小时故障服务受理，故障发生后30分钟内提供远程技术支持，故障严重或医院要求的情况下4小时内到达现场解决问题，并在8小时内完成故障处理工作。做到及时解决问题，保障系统正常运行。</w:t>
            </w:r>
          </w:p>
          <w:p w14:paraId="63949E6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4.3定期对系统进行维护、巡检，包括服务器性能监测、数据库优化、安全漏洞扫描等工作。免费维保期内提供免费的人员培训、bug修复、升级软件等技术支持服务。</w:t>
            </w:r>
          </w:p>
          <w:p w14:paraId="38EAC33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sz w:val="21"/>
                <w:szCs w:val="21"/>
                <w:vertAlign w:val="baseline"/>
                <w:lang w:val="en-US" w:eastAsia="zh-CN"/>
              </w:rPr>
            </w:pPr>
            <w:r>
              <w:rPr>
                <w:rFonts w:hint="eastAsia"/>
                <w:color w:val="000000" w:themeColor="text1"/>
                <w:lang w:val="en-US" w:eastAsia="zh-CN"/>
                <w14:textFill>
                  <w14:solidFill>
                    <w14:schemeClr w14:val="tx1"/>
                  </w14:solidFill>
                </w14:textFill>
              </w:rPr>
              <w:t>5.付款方式：货到验收、发票入账6个月内支付到总货款的90%，质保期满后6个月支付合同余款。</w:t>
            </w:r>
          </w:p>
        </w:tc>
      </w:tr>
      <w:tr w14:paraId="1CCC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85" w:hRule="atLeast"/>
          <w:jc w:val="center"/>
        </w:trPr>
        <w:tc>
          <w:tcPr>
            <w:tcW w:w="4991" w:type="pct"/>
            <w:gridSpan w:val="5"/>
          </w:tcPr>
          <w:p w14:paraId="78E700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sz w:val="24"/>
                <w:szCs w:val="24"/>
                <w:vertAlign w:val="baseline"/>
                <w:lang w:val="en-US" w:eastAsia="zh-CN"/>
              </w:rPr>
              <w:t>包三</w:t>
            </w:r>
          </w:p>
        </w:tc>
      </w:tr>
      <w:tr w14:paraId="67AD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jc w:val="center"/>
        </w:trPr>
        <w:tc>
          <w:tcPr>
            <w:tcW w:w="1057" w:type="pct"/>
          </w:tcPr>
          <w:p w14:paraId="24175AD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品名</w:t>
            </w:r>
          </w:p>
        </w:tc>
        <w:tc>
          <w:tcPr>
            <w:tcW w:w="2150" w:type="pct"/>
          </w:tcPr>
          <w:p w14:paraId="3644BA9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厂家</w:t>
            </w:r>
          </w:p>
        </w:tc>
        <w:tc>
          <w:tcPr>
            <w:tcW w:w="1290" w:type="pct"/>
          </w:tcPr>
          <w:p w14:paraId="3CCB194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499" w:type="pct"/>
            <w:gridSpan w:val="2"/>
          </w:tcPr>
          <w:p w14:paraId="7A8535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预算（元）</w:t>
            </w:r>
          </w:p>
        </w:tc>
      </w:tr>
      <w:tr w14:paraId="4EE3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jc w:val="center"/>
        </w:trPr>
        <w:tc>
          <w:tcPr>
            <w:tcW w:w="1057" w:type="pct"/>
            <w:vMerge w:val="restart"/>
            <w:shd w:val="clear" w:color="auto" w:fill="auto"/>
            <w:vAlign w:val="center"/>
          </w:tcPr>
          <w:p w14:paraId="1BBDAB6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1、动物实验耗材及试剂</w:t>
            </w:r>
          </w:p>
          <w:p w14:paraId="40BEC3A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c>
          <w:tcPr>
            <w:tcW w:w="2150" w:type="pct"/>
            <w:shd w:val="clear" w:color="auto" w:fill="auto"/>
            <w:vAlign w:val="center"/>
          </w:tcPr>
          <w:p w14:paraId="01034E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SPF级SD大鼠：湖南斯莱克景达实验动物有限公司</w:t>
            </w:r>
          </w:p>
        </w:tc>
        <w:tc>
          <w:tcPr>
            <w:tcW w:w="1290" w:type="pct"/>
            <w:vMerge w:val="restart"/>
            <w:shd w:val="clear" w:color="auto" w:fill="auto"/>
            <w:vAlign w:val="center"/>
          </w:tcPr>
          <w:p w14:paraId="02C267C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辐照饲料30Kg，辐照垫料20Kg，弗氏完全佐剂10ml，灭活结核杆菌200mg，SPF级SD大鼠（200g±20g）30只；</w:t>
            </w:r>
          </w:p>
        </w:tc>
        <w:tc>
          <w:tcPr>
            <w:tcW w:w="499" w:type="pct"/>
            <w:gridSpan w:val="2"/>
            <w:vMerge w:val="restart"/>
          </w:tcPr>
          <w:p w14:paraId="36C6EE6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p w14:paraId="2C09783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p w14:paraId="1DECF8D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p w14:paraId="42354A2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p w14:paraId="2B50923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p w14:paraId="0239CF4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p w14:paraId="34394C5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p w14:paraId="51FB3AB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p w14:paraId="4E687F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p w14:paraId="6CEE5E6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31800</w:t>
            </w:r>
          </w:p>
        </w:tc>
      </w:tr>
      <w:tr w14:paraId="5E0D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1390" w:hRule="atLeast"/>
          <w:jc w:val="center"/>
        </w:trPr>
        <w:tc>
          <w:tcPr>
            <w:tcW w:w="1057" w:type="pct"/>
            <w:vMerge w:val="continue"/>
          </w:tcPr>
          <w:p w14:paraId="242EC1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c>
          <w:tcPr>
            <w:tcW w:w="2150" w:type="pct"/>
            <w:shd w:val="clear" w:color="auto" w:fill="auto"/>
            <w:vAlign w:val="center"/>
          </w:tcPr>
          <w:p w14:paraId="4E3393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弗氏完全佐剂：MERCK Sigma-Aldrich</w:t>
            </w:r>
          </w:p>
        </w:tc>
        <w:tc>
          <w:tcPr>
            <w:tcW w:w="1290" w:type="pct"/>
            <w:vMerge w:val="continue"/>
          </w:tcPr>
          <w:p w14:paraId="290B240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c>
          <w:tcPr>
            <w:tcW w:w="499" w:type="pct"/>
            <w:gridSpan w:val="2"/>
            <w:vMerge w:val="continue"/>
          </w:tcPr>
          <w:p w14:paraId="252D16D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r>
      <w:tr w14:paraId="7E66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623" w:hRule="atLeast"/>
          <w:jc w:val="center"/>
        </w:trPr>
        <w:tc>
          <w:tcPr>
            <w:tcW w:w="1057" w:type="pct"/>
            <w:vMerge w:val="continue"/>
          </w:tcPr>
          <w:p w14:paraId="0048A38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c>
          <w:tcPr>
            <w:tcW w:w="2150" w:type="pct"/>
            <w:shd w:val="clear" w:color="auto" w:fill="auto"/>
            <w:vAlign w:val="center"/>
          </w:tcPr>
          <w:p w14:paraId="3E07630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辐照饲料</w:t>
            </w:r>
          </w:p>
        </w:tc>
        <w:tc>
          <w:tcPr>
            <w:tcW w:w="1290" w:type="pct"/>
            <w:vMerge w:val="continue"/>
          </w:tcPr>
          <w:p w14:paraId="589BED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c>
          <w:tcPr>
            <w:tcW w:w="499" w:type="pct"/>
            <w:gridSpan w:val="2"/>
            <w:vMerge w:val="continue"/>
          </w:tcPr>
          <w:p w14:paraId="5E373B8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r>
      <w:tr w14:paraId="2726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649" w:hRule="atLeast"/>
          <w:jc w:val="center"/>
        </w:trPr>
        <w:tc>
          <w:tcPr>
            <w:tcW w:w="1057" w:type="pct"/>
            <w:vMerge w:val="continue"/>
          </w:tcPr>
          <w:p w14:paraId="3B69E5F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c>
          <w:tcPr>
            <w:tcW w:w="2150" w:type="pct"/>
            <w:shd w:val="clear" w:color="auto" w:fill="auto"/>
            <w:vAlign w:val="center"/>
          </w:tcPr>
          <w:p w14:paraId="16983E0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辐照垫料</w:t>
            </w:r>
          </w:p>
        </w:tc>
        <w:tc>
          <w:tcPr>
            <w:tcW w:w="1290" w:type="pct"/>
            <w:vMerge w:val="continue"/>
          </w:tcPr>
          <w:p w14:paraId="2140CC8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c>
          <w:tcPr>
            <w:tcW w:w="499" w:type="pct"/>
            <w:gridSpan w:val="2"/>
            <w:vMerge w:val="continue"/>
          </w:tcPr>
          <w:p w14:paraId="5E92913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r>
      <w:tr w14:paraId="15F7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1414" w:hRule="atLeast"/>
          <w:jc w:val="center"/>
        </w:trPr>
        <w:tc>
          <w:tcPr>
            <w:tcW w:w="1057" w:type="pct"/>
            <w:vMerge w:val="continue"/>
          </w:tcPr>
          <w:p w14:paraId="37C0815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c>
          <w:tcPr>
            <w:tcW w:w="2150" w:type="pct"/>
            <w:shd w:val="clear" w:color="auto" w:fill="auto"/>
            <w:vAlign w:val="center"/>
          </w:tcPr>
          <w:p w14:paraId="70FFCCA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灭活结核杆菌：Becton, Dickinson and Company</w:t>
            </w:r>
          </w:p>
        </w:tc>
        <w:tc>
          <w:tcPr>
            <w:tcW w:w="1290" w:type="pct"/>
            <w:vMerge w:val="continue"/>
          </w:tcPr>
          <w:p w14:paraId="371F257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c>
          <w:tcPr>
            <w:tcW w:w="499" w:type="pct"/>
            <w:gridSpan w:val="2"/>
            <w:vMerge w:val="continue"/>
          </w:tcPr>
          <w:p w14:paraId="04335FE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r>
      <w:tr w14:paraId="27A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1111" w:hRule="atLeast"/>
          <w:jc w:val="center"/>
        </w:trPr>
        <w:tc>
          <w:tcPr>
            <w:tcW w:w="1057" w:type="pct"/>
            <w:shd w:val="clear" w:color="auto" w:fill="auto"/>
            <w:vAlign w:val="center"/>
          </w:tcPr>
          <w:p w14:paraId="3CC5141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2、TNF-α、IL-6、IL-17、CRP四个抗体 </w:t>
            </w:r>
          </w:p>
        </w:tc>
        <w:tc>
          <w:tcPr>
            <w:tcW w:w="2150" w:type="pct"/>
            <w:shd w:val="clear" w:color="auto" w:fill="auto"/>
            <w:vAlign w:val="center"/>
          </w:tcPr>
          <w:p w14:paraId="39D2981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抗体：Proteintech和Abiowell</w:t>
            </w:r>
          </w:p>
        </w:tc>
        <w:tc>
          <w:tcPr>
            <w:tcW w:w="1290" w:type="pct"/>
            <w:shd w:val="clear" w:color="auto" w:fill="auto"/>
            <w:vAlign w:val="center"/>
          </w:tcPr>
          <w:p w14:paraId="7A5E988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各50μl</w:t>
            </w:r>
          </w:p>
        </w:tc>
        <w:tc>
          <w:tcPr>
            <w:tcW w:w="499" w:type="pct"/>
            <w:gridSpan w:val="2"/>
            <w:vMerge w:val="continue"/>
          </w:tcPr>
          <w:p w14:paraId="15475A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r>
      <w:tr w14:paraId="2299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1507" w:hRule="atLeast"/>
          <w:jc w:val="center"/>
        </w:trPr>
        <w:tc>
          <w:tcPr>
            <w:tcW w:w="1057" w:type="pct"/>
            <w:shd w:val="clear" w:color="auto" w:fill="auto"/>
            <w:vAlign w:val="center"/>
          </w:tcPr>
          <w:p w14:paraId="11B182A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3、入血成分检测，血清代谢组学分析检测（三个组，每个组5个样本，共计15份样本）；</w:t>
            </w:r>
          </w:p>
        </w:tc>
        <w:tc>
          <w:tcPr>
            <w:tcW w:w="2150" w:type="pct"/>
            <w:shd w:val="clear" w:color="auto" w:fill="auto"/>
            <w:vAlign w:val="center"/>
          </w:tcPr>
          <w:p w14:paraId="5A9F88C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提供检测服务</w:t>
            </w:r>
          </w:p>
        </w:tc>
        <w:tc>
          <w:tcPr>
            <w:tcW w:w="1290" w:type="pct"/>
            <w:shd w:val="clear" w:color="auto" w:fill="auto"/>
            <w:vAlign w:val="center"/>
          </w:tcPr>
          <w:p w14:paraId="2D0A31C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（三个组，每个组5个样本，共计15份样本）；</w:t>
            </w:r>
          </w:p>
        </w:tc>
        <w:tc>
          <w:tcPr>
            <w:tcW w:w="499" w:type="pct"/>
            <w:gridSpan w:val="2"/>
            <w:vMerge w:val="continue"/>
          </w:tcPr>
          <w:p w14:paraId="76BB12C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r>
      <w:tr w14:paraId="79D5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jc w:val="center"/>
        </w:trPr>
        <w:tc>
          <w:tcPr>
            <w:tcW w:w="1057" w:type="pct"/>
            <w:shd w:val="clear" w:color="auto" w:fill="auto"/>
            <w:vAlign w:val="center"/>
          </w:tcPr>
          <w:p w14:paraId="1C3CFCA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4、免疫组化检测费用（三个组，每个组5个样本，4个检测指标：TNF-α、IL-6、IL-17、CRP）；</w:t>
            </w:r>
          </w:p>
        </w:tc>
        <w:tc>
          <w:tcPr>
            <w:tcW w:w="2150" w:type="pct"/>
            <w:shd w:val="clear" w:color="auto" w:fill="auto"/>
            <w:vAlign w:val="center"/>
          </w:tcPr>
          <w:p w14:paraId="25D7CB9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提供检测服</w:t>
            </w:r>
          </w:p>
          <w:p w14:paraId="0FE37B5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务</w:t>
            </w:r>
          </w:p>
        </w:tc>
        <w:tc>
          <w:tcPr>
            <w:tcW w:w="1290" w:type="pct"/>
            <w:shd w:val="clear" w:color="auto" w:fill="auto"/>
            <w:vAlign w:val="center"/>
          </w:tcPr>
          <w:p w14:paraId="12259E7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（三个组，每个组5个样本，4个检测指标：TNF-α、IL-6、IL-17、CRP）；</w:t>
            </w:r>
          </w:p>
        </w:tc>
        <w:tc>
          <w:tcPr>
            <w:tcW w:w="499" w:type="pct"/>
            <w:gridSpan w:val="2"/>
            <w:vMerge w:val="continue"/>
          </w:tcPr>
          <w:p w14:paraId="41D72FD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p>
        </w:tc>
      </w:tr>
      <w:tr w14:paraId="7533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jc w:val="center"/>
        </w:trPr>
        <w:tc>
          <w:tcPr>
            <w:tcW w:w="4997" w:type="pct"/>
            <w:gridSpan w:val="5"/>
            <w:shd w:val="clear" w:color="auto" w:fill="auto"/>
            <w:vAlign w:val="center"/>
          </w:tcPr>
          <w:p w14:paraId="6C044F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0"/>
              <w:rPr>
                <w:rFonts w:hint="eastAsia" w:asciiTheme="minorEastAsia" w:hAnsiTheme="minorEastAsia" w:eastAsiaTheme="minorEastAsia" w:cstheme="minorEastAsia"/>
                <w:b/>
                <w:bCs/>
                <w:sz w:val="24"/>
                <w:szCs w:val="24"/>
                <w:vertAlign w:val="baseline"/>
                <w:lang w:val="en-US" w:eastAsia="zh-CN"/>
              </w:rPr>
            </w:pPr>
          </w:p>
          <w:p w14:paraId="03FD98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商务要求</w:t>
            </w:r>
          </w:p>
          <w:p w14:paraId="78B5FA0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1、服务资质：主要研究者要求具有中、高级职称，且参加过多个相关临床前试验，并具有样本相应的检测资质及服务。</w:t>
            </w:r>
          </w:p>
          <w:p w14:paraId="6DA2E19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2、实验设施与设备资质：有符合实验要求的场地，设施需符合相关法规和标准；制定并执行标准操作规程，以确保数据准确可靠、实验规范、可重复。</w:t>
            </w:r>
          </w:p>
          <w:p w14:paraId="53F7515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3、动物实验资质：有SPF级别动物房且具有动物使用许可证；设立独立的伦理委员会，其组成和运作符合相关法规。</w:t>
            </w:r>
          </w:p>
          <w:p w14:paraId="3767F81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4、现场审查公司资质，提供试剂、耗材等样品，确定样品后才算竞价有效。</w:t>
            </w:r>
          </w:p>
          <w:p w14:paraId="3F343E1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5、中标方承诺按照行业通行技术标准及实验规范开展实验工作，对实验过程实施全程质量控制，并采取一切必要措施确保实验数据及检测结果的准确性、完整性和可追溯性。</w:t>
            </w:r>
          </w:p>
          <w:p w14:paraId="49B1A80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6、为方便医院查阅实验数据，中标方需提供数据保存服务，保存期限至课题结题。</w:t>
            </w:r>
          </w:p>
          <w:p w14:paraId="538F84A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7、凡与本项目相关的内容，包括但不限于技术资料、研究资料、认证结果等，中标方均应当严格保密。</w:t>
            </w:r>
          </w:p>
          <w:p w14:paraId="374E80E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8、中标方所提供的耗材应为符合国家质量标准的合格产品且所有证件、手续合法齐全，按要求储存、运输(冷链)、包装等。</w:t>
            </w:r>
          </w:p>
          <w:p w14:paraId="0CB7A3E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9、在项目实施过程中，采购人根据课题研究提出实际的需求，中标方应尽量予以满足。</w:t>
            </w:r>
          </w:p>
          <w:p w14:paraId="367E36B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10、项目验收合格、开具发票后1个月内支付合同金额100%。</w:t>
            </w:r>
          </w:p>
        </w:tc>
      </w:tr>
    </w:tbl>
    <w:p w14:paraId="62B91BED">
      <w:pPr>
        <w:jc w:val="center"/>
        <w:rPr>
          <w:rFonts w:hint="eastAsia"/>
          <w:b/>
          <w:sz w:val="32"/>
          <w:szCs w:val="32"/>
        </w:rPr>
      </w:pPr>
    </w:p>
    <w:p w14:paraId="5A608187"/>
    <w:p w14:paraId="033AD1DC">
      <w:pPr>
        <w:rPr>
          <w:rFonts w:hint="eastAsia"/>
        </w:rPr>
      </w:pPr>
    </w:p>
    <w:p w14:paraId="70ED4F17"/>
    <w:p w14:paraId="61C4F77D"/>
    <w:p w14:paraId="6CAF068F">
      <w:pPr>
        <w:jc w:val="center"/>
        <w:rPr>
          <w:rFonts w:hint="eastAsia"/>
          <w:b/>
          <w:sz w:val="28"/>
          <w:szCs w:val="28"/>
        </w:rPr>
      </w:pPr>
      <w:r>
        <w:rPr>
          <w:rFonts w:hint="eastAsia"/>
          <w:b/>
          <w:sz w:val="28"/>
          <w:szCs w:val="28"/>
        </w:rPr>
        <w:t>第</w:t>
      </w:r>
      <w:r>
        <w:rPr>
          <w:b/>
          <w:sz w:val="28"/>
          <w:szCs w:val="28"/>
        </w:rPr>
        <w:t>三节</w:t>
      </w:r>
      <w:r>
        <w:rPr>
          <w:rFonts w:hint="eastAsia"/>
          <w:b/>
          <w:sz w:val="28"/>
          <w:szCs w:val="28"/>
        </w:rPr>
        <w:t xml:space="preserve"> 评审</w:t>
      </w:r>
      <w:r>
        <w:rPr>
          <w:b/>
          <w:sz w:val="28"/>
          <w:szCs w:val="28"/>
        </w:rPr>
        <w:t>办法</w:t>
      </w:r>
    </w:p>
    <w:p w14:paraId="05664F5B"/>
    <w:p w14:paraId="71FD14FD">
      <w:r>
        <w:rPr>
          <w:rFonts w:hint="eastAsia"/>
        </w:rPr>
        <w:t>第</w:t>
      </w:r>
      <w:r>
        <w:t>一种：</w:t>
      </w:r>
      <w:r>
        <w:rPr>
          <w:rFonts w:hint="eastAsia"/>
        </w:rPr>
        <w:t xml:space="preserve"> 最低</w:t>
      </w:r>
      <w:r>
        <w:t>评标价法</w:t>
      </w:r>
      <w:r>
        <w:rPr>
          <w:rFonts w:hint="eastAsia"/>
        </w:rPr>
        <w:t>：</w:t>
      </w:r>
      <w:r>
        <w:t>满足采购</w:t>
      </w:r>
      <w:r>
        <w:rPr>
          <w:rFonts w:hint="eastAsia"/>
        </w:rPr>
        <w:t>需求</w:t>
      </w:r>
      <w:r>
        <w:t>的前提下，</w:t>
      </w:r>
      <w:r>
        <w:rPr>
          <w:rFonts w:hint="eastAsia"/>
        </w:rPr>
        <w:t>报价</w:t>
      </w:r>
      <w:r>
        <w:t>最低的有效供应商</w:t>
      </w:r>
      <w:r>
        <w:rPr>
          <w:rFonts w:hint="eastAsia"/>
        </w:rPr>
        <w:t>为</w:t>
      </w:r>
      <w:r>
        <w:t>第一成交候选人。</w:t>
      </w:r>
    </w:p>
    <w:p w14:paraId="1DCB5432"/>
    <w:p w14:paraId="486FB7AB">
      <w:pPr>
        <w:rPr>
          <w:rFonts w:hint="eastAsia"/>
        </w:rPr>
      </w:pPr>
    </w:p>
    <w:p w14:paraId="6FFEC411">
      <w:pPr>
        <w:rPr>
          <w:rFonts w:hint="eastAsia"/>
        </w:rPr>
      </w:pPr>
      <w:r>
        <w:rPr>
          <w:rFonts w:hint="eastAsia"/>
        </w:rPr>
        <w:t>第</w:t>
      </w:r>
      <w:r>
        <w:t>二种：综合评标法</w:t>
      </w:r>
    </w:p>
    <w:tbl>
      <w:tblPr>
        <w:tblStyle w:val="2"/>
        <w:tblW w:w="987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5"/>
        <w:gridCol w:w="1282"/>
        <w:gridCol w:w="1367"/>
        <w:gridCol w:w="6612"/>
      </w:tblGrid>
      <w:tr w14:paraId="22E208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15" w:type="dxa"/>
            <w:tcBorders>
              <w:right w:val="single" w:color="auto" w:sz="4" w:space="0"/>
            </w:tcBorders>
            <w:vAlign w:val="center"/>
          </w:tcPr>
          <w:p w14:paraId="407D564C">
            <w:pPr>
              <w:adjustRightInd w:val="0"/>
              <w:snapToGrid w:val="0"/>
              <w:jc w:val="center"/>
              <w:rPr>
                <w:rFonts w:ascii="宋体" w:hAnsi="宋体"/>
                <w:b/>
                <w:color w:val="000000"/>
                <w:szCs w:val="21"/>
              </w:rPr>
            </w:pPr>
            <w:r>
              <w:rPr>
                <w:rFonts w:hint="eastAsia" w:ascii="宋体" w:hAnsi="宋体"/>
                <w:b/>
                <w:color w:val="000000"/>
                <w:szCs w:val="21"/>
              </w:rPr>
              <w:t>序号</w:t>
            </w:r>
          </w:p>
        </w:tc>
        <w:tc>
          <w:tcPr>
            <w:tcW w:w="1282" w:type="dxa"/>
            <w:tcBorders>
              <w:left w:val="single" w:color="auto" w:sz="4" w:space="0"/>
              <w:right w:val="single" w:color="auto" w:sz="4" w:space="0"/>
            </w:tcBorders>
            <w:vAlign w:val="center"/>
          </w:tcPr>
          <w:p w14:paraId="1E5DDED5">
            <w:pPr>
              <w:adjustRightInd w:val="0"/>
              <w:snapToGrid w:val="0"/>
              <w:jc w:val="center"/>
              <w:rPr>
                <w:rFonts w:ascii="宋体" w:hAnsi="宋体"/>
                <w:b/>
                <w:color w:val="000000"/>
                <w:szCs w:val="21"/>
              </w:rPr>
            </w:pPr>
            <w:r>
              <w:rPr>
                <w:rFonts w:hint="eastAsia" w:ascii="宋体" w:hAnsi="宋体"/>
                <w:b/>
                <w:color w:val="000000"/>
                <w:szCs w:val="21"/>
              </w:rPr>
              <w:t>评标因素（分值）</w:t>
            </w:r>
          </w:p>
        </w:tc>
        <w:tc>
          <w:tcPr>
            <w:tcW w:w="1367" w:type="dxa"/>
            <w:tcBorders>
              <w:left w:val="single" w:color="auto" w:sz="4" w:space="0"/>
              <w:right w:val="single" w:color="auto" w:sz="4" w:space="0"/>
            </w:tcBorders>
            <w:vAlign w:val="center"/>
          </w:tcPr>
          <w:p w14:paraId="6E8B90A8">
            <w:pPr>
              <w:adjustRightInd w:val="0"/>
              <w:snapToGrid w:val="0"/>
              <w:jc w:val="center"/>
              <w:rPr>
                <w:rFonts w:hint="eastAsia" w:ascii="宋体" w:hAnsi="宋体"/>
                <w:b/>
                <w:color w:val="000000"/>
                <w:szCs w:val="21"/>
              </w:rPr>
            </w:pPr>
            <w:r>
              <w:rPr>
                <w:rFonts w:hint="eastAsia" w:ascii="宋体" w:hAnsi="宋体"/>
                <w:b/>
                <w:color w:val="000000"/>
                <w:szCs w:val="21"/>
              </w:rPr>
              <w:t>分值</w:t>
            </w:r>
          </w:p>
        </w:tc>
        <w:tc>
          <w:tcPr>
            <w:tcW w:w="6612" w:type="dxa"/>
            <w:tcBorders>
              <w:left w:val="single" w:color="auto" w:sz="4" w:space="0"/>
            </w:tcBorders>
            <w:vAlign w:val="center"/>
          </w:tcPr>
          <w:p w14:paraId="04921E14">
            <w:pPr>
              <w:adjustRightInd w:val="0"/>
              <w:snapToGrid w:val="0"/>
              <w:jc w:val="center"/>
              <w:rPr>
                <w:rFonts w:ascii="宋体" w:hAnsi="宋体"/>
                <w:b/>
                <w:color w:val="000000"/>
                <w:szCs w:val="21"/>
              </w:rPr>
            </w:pPr>
            <w:r>
              <w:rPr>
                <w:rFonts w:hint="eastAsia" w:ascii="宋体" w:hAnsi="宋体"/>
                <w:b/>
                <w:color w:val="000000"/>
                <w:szCs w:val="21"/>
              </w:rPr>
              <w:t>评标标准</w:t>
            </w:r>
          </w:p>
        </w:tc>
      </w:tr>
      <w:tr w14:paraId="1CA13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615" w:type="dxa"/>
            <w:tcBorders>
              <w:right w:val="single" w:color="auto" w:sz="4" w:space="0"/>
            </w:tcBorders>
            <w:vAlign w:val="center"/>
          </w:tcPr>
          <w:p w14:paraId="70342065">
            <w:pPr>
              <w:adjustRightInd w:val="0"/>
              <w:snapToGrid w:val="0"/>
              <w:spacing w:before="156" w:beforeLines="50"/>
              <w:jc w:val="center"/>
              <w:rPr>
                <w:rFonts w:ascii="宋体" w:hAnsi="宋体"/>
                <w:color w:val="000000"/>
                <w:szCs w:val="21"/>
              </w:rPr>
            </w:pPr>
            <w:r>
              <w:rPr>
                <w:rFonts w:hint="eastAsia" w:ascii="宋体" w:hAnsi="宋体"/>
                <w:color w:val="000000"/>
                <w:szCs w:val="21"/>
              </w:rPr>
              <w:t>1</w:t>
            </w:r>
          </w:p>
        </w:tc>
        <w:tc>
          <w:tcPr>
            <w:tcW w:w="1282" w:type="dxa"/>
            <w:tcBorders>
              <w:left w:val="single" w:color="auto" w:sz="4" w:space="0"/>
              <w:right w:val="single" w:color="auto" w:sz="4" w:space="0"/>
            </w:tcBorders>
            <w:vAlign w:val="center"/>
          </w:tcPr>
          <w:p w14:paraId="79D07C14">
            <w:pPr>
              <w:adjustRightInd w:val="0"/>
              <w:snapToGrid w:val="0"/>
              <w:jc w:val="center"/>
              <w:rPr>
                <w:rFonts w:ascii="宋体" w:hAnsi="宋体"/>
                <w:color w:val="000000"/>
                <w:szCs w:val="21"/>
              </w:rPr>
            </w:pPr>
            <w:r>
              <w:rPr>
                <w:rFonts w:hint="eastAsia" w:ascii="宋体" w:hAnsi="宋体"/>
                <w:color w:val="000000"/>
                <w:szCs w:val="21"/>
              </w:rPr>
              <w:t>价格部分</w:t>
            </w:r>
          </w:p>
        </w:tc>
        <w:tc>
          <w:tcPr>
            <w:tcW w:w="1367" w:type="dxa"/>
            <w:tcBorders>
              <w:left w:val="single" w:color="auto" w:sz="4" w:space="0"/>
              <w:right w:val="single" w:color="auto" w:sz="4" w:space="0"/>
            </w:tcBorders>
            <w:vAlign w:val="center"/>
          </w:tcPr>
          <w:p w14:paraId="5F40F450">
            <w:pPr>
              <w:widowControl/>
              <w:spacing w:before="100" w:beforeAutospacing="1" w:after="100" w:afterAutospacing="1"/>
              <w:jc w:val="center"/>
              <w:rPr>
                <w:rFonts w:ascii="宋体" w:hAnsi="宋体"/>
                <w:color w:val="000000"/>
                <w:szCs w:val="21"/>
              </w:rPr>
            </w:pPr>
            <w:r>
              <w:rPr>
                <w:rFonts w:ascii="宋体" w:hAnsi="宋体"/>
                <w:color w:val="000000"/>
                <w:szCs w:val="21"/>
              </w:rPr>
              <w:t>4</w:t>
            </w:r>
            <w:r>
              <w:rPr>
                <w:rFonts w:hint="eastAsia" w:ascii="宋体" w:hAnsi="宋体"/>
                <w:color w:val="000000"/>
                <w:szCs w:val="21"/>
              </w:rPr>
              <w:t>0分</w:t>
            </w:r>
          </w:p>
        </w:tc>
        <w:tc>
          <w:tcPr>
            <w:tcW w:w="6612" w:type="dxa"/>
            <w:tcBorders>
              <w:left w:val="single" w:color="auto" w:sz="4" w:space="0"/>
            </w:tcBorders>
            <w:vAlign w:val="center"/>
          </w:tcPr>
          <w:p w14:paraId="445CFF4D">
            <w:pPr>
              <w:widowControl/>
              <w:spacing w:before="100" w:beforeAutospacing="1" w:after="100" w:afterAutospacing="1"/>
              <w:jc w:val="left"/>
              <w:rPr>
                <w:rFonts w:ascii="宋体" w:hAnsi="宋体"/>
                <w:color w:val="000000"/>
                <w:szCs w:val="21"/>
              </w:rPr>
            </w:pPr>
            <w:r>
              <w:rPr>
                <w:rFonts w:ascii="宋体" w:hAnsi="宋体"/>
                <w:color w:val="000000"/>
                <w:szCs w:val="21"/>
              </w:rPr>
              <w:t>满足招标文件要求且投标价格最低的投标报价为评标基准价，其价格分为</w:t>
            </w:r>
            <w:r>
              <w:rPr>
                <w:rFonts w:hint="eastAsia" w:ascii="宋体" w:hAnsi="宋体"/>
                <w:color w:val="000000"/>
                <w:szCs w:val="21"/>
              </w:rPr>
              <w:t>1</w:t>
            </w:r>
            <w:r>
              <w:rPr>
                <w:rFonts w:ascii="宋体" w:hAnsi="宋体"/>
                <w:color w:val="000000"/>
                <w:szCs w:val="21"/>
              </w:rPr>
              <w:t>00分。其他投标人的价格分统一按照下列公式计算：</w:t>
            </w:r>
            <w:r>
              <w:rPr>
                <w:rFonts w:hint="eastAsia" w:ascii="宋体" w:hAnsi="宋体"/>
                <w:color w:val="000000"/>
                <w:szCs w:val="21"/>
              </w:rPr>
              <w:t>报价得分＝评标基准价÷投标报价×</w:t>
            </w:r>
            <w:r>
              <w:rPr>
                <w:rFonts w:ascii="宋体" w:hAnsi="宋体"/>
                <w:color w:val="000000"/>
                <w:szCs w:val="21"/>
              </w:rPr>
              <w:t>50</w:t>
            </w:r>
          </w:p>
        </w:tc>
      </w:tr>
      <w:tr w14:paraId="28C75D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615" w:type="dxa"/>
            <w:tcBorders>
              <w:right w:val="single" w:color="auto" w:sz="4" w:space="0"/>
            </w:tcBorders>
            <w:vAlign w:val="center"/>
          </w:tcPr>
          <w:p w14:paraId="7416DE7E">
            <w:pPr>
              <w:adjustRightInd w:val="0"/>
              <w:snapToGrid w:val="0"/>
              <w:spacing w:before="156" w:beforeLines="50"/>
              <w:jc w:val="center"/>
              <w:rPr>
                <w:rFonts w:ascii="宋体" w:hAnsi="宋体"/>
                <w:color w:val="000000"/>
                <w:szCs w:val="21"/>
              </w:rPr>
            </w:pPr>
            <w:r>
              <w:rPr>
                <w:rFonts w:hint="eastAsia" w:ascii="宋体" w:hAnsi="宋体"/>
                <w:color w:val="000000"/>
                <w:szCs w:val="21"/>
              </w:rPr>
              <w:t>2</w:t>
            </w:r>
          </w:p>
        </w:tc>
        <w:tc>
          <w:tcPr>
            <w:tcW w:w="1282" w:type="dxa"/>
            <w:tcBorders>
              <w:left w:val="single" w:color="auto" w:sz="4" w:space="0"/>
            </w:tcBorders>
            <w:vAlign w:val="center"/>
          </w:tcPr>
          <w:p w14:paraId="175D30A9">
            <w:pPr>
              <w:adjustRightInd w:val="0"/>
              <w:snapToGrid w:val="0"/>
              <w:jc w:val="center"/>
              <w:rPr>
                <w:rFonts w:hint="eastAsia" w:ascii="宋体" w:hAnsi="宋体"/>
                <w:color w:val="000000"/>
                <w:szCs w:val="21"/>
              </w:rPr>
            </w:pPr>
            <w:r>
              <w:rPr>
                <w:rFonts w:hint="eastAsia" w:ascii="宋体" w:hAnsi="宋体"/>
                <w:color w:val="000000"/>
                <w:szCs w:val="21"/>
              </w:rPr>
              <w:t>技术部分</w:t>
            </w:r>
          </w:p>
        </w:tc>
        <w:tc>
          <w:tcPr>
            <w:tcW w:w="1367" w:type="dxa"/>
            <w:vAlign w:val="center"/>
          </w:tcPr>
          <w:p w14:paraId="5CCFB69E">
            <w:pPr>
              <w:adjustRightInd w:val="0"/>
              <w:snapToGrid w:val="0"/>
              <w:spacing w:before="156" w:beforeLines="50"/>
              <w:jc w:val="center"/>
              <w:rPr>
                <w:rFonts w:hint="eastAsia" w:ascii="宋体" w:hAnsi="宋体"/>
                <w:color w:val="000000"/>
                <w:szCs w:val="21"/>
              </w:rPr>
            </w:pPr>
            <w:r>
              <w:rPr>
                <w:rFonts w:ascii="宋体" w:hAnsi="宋体"/>
                <w:color w:val="000000"/>
                <w:szCs w:val="21"/>
              </w:rPr>
              <w:t>5</w:t>
            </w:r>
            <w:r>
              <w:rPr>
                <w:rFonts w:hint="eastAsia" w:ascii="宋体" w:hAnsi="宋体"/>
                <w:color w:val="000000"/>
                <w:szCs w:val="21"/>
              </w:rPr>
              <w:t>0分</w:t>
            </w:r>
          </w:p>
        </w:tc>
        <w:tc>
          <w:tcPr>
            <w:tcW w:w="6612" w:type="dxa"/>
            <w:vAlign w:val="center"/>
          </w:tcPr>
          <w:p w14:paraId="79AD57E0">
            <w:pP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hint="eastAsia" w:ascii="宋体" w:hAnsi="宋体" w:cs="宋体"/>
                <w:color w:val="000000"/>
                <w:szCs w:val="21"/>
                <w:lang w:val="zh-TW"/>
              </w:rPr>
              <w:t>所投设备其它技术指标和配置完全</w:t>
            </w:r>
            <w:r>
              <w:rPr>
                <w:rFonts w:hint="eastAsia" w:ascii="宋体" w:hAnsi="宋体"/>
                <w:color w:val="000000"/>
                <w:szCs w:val="21"/>
              </w:rPr>
              <w:t>招标文件要求的，计满分。</w:t>
            </w:r>
          </w:p>
          <w:p w14:paraId="309EF3AC">
            <w:pPr>
              <w:pStyle w:val="5"/>
              <w:ind w:firstLine="0" w:firstLineChars="0"/>
              <w:rPr>
                <w:rFonts w:ascii="宋体" w:hAnsi="宋体"/>
              </w:rPr>
            </w:pPr>
            <w:r>
              <w:rPr>
                <w:rFonts w:ascii="宋体" w:hAnsi="宋体"/>
              </w:rPr>
              <w:t>2</w:t>
            </w:r>
            <w:r>
              <w:rPr>
                <w:rFonts w:hint="eastAsia" w:ascii="宋体" w:hAnsi="宋体"/>
              </w:rPr>
              <w:t>、标注“▲”号</w:t>
            </w:r>
            <w:r>
              <w:rPr>
                <w:rFonts w:ascii="宋体" w:hAnsi="宋体"/>
              </w:rPr>
              <w:t>技术条款</w:t>
            </w:r>
            <w:r>
              <w:rPr>
                <w:rFonts w:ascii="宋体" w:hAnsi="宋体" w:cs="宋体"/>
                <w:color w:val="000000"/>
              </w:rPr>
              <w:t>每负偏离一</w:t>
            </w:r>
            <w:r>
              <w:rPr>
                <w:rFonts w:hint="eastAsia" w:ascii="宋体" w:hAnsi="宋体" w:cs="宋体"/>
                <w:color w:val="000000"/>
              </w:rPr>
              <w:t>项</w:t>
            </w:r>
            <w:r>
              <w:rPr>
                <w:rFonts w:ascii="宋体" w:hAnsi="宋体" w:cs="宋体"/>
                <w:color w:val="000000"/>
              </w:rPr>
              <w:t>扣__4_分</w:t>
            </w:r>
            <w:r>
              <w:rPr>
                <w:rFonts w:hint="eastAsia" w:ascii="宋体" w:hAnsi="宋体" w:cs="宋体"/>
                <w:color w:val="000000"/>
              </w:rPr>
              <w:t>。</w:t>
            </w:r>
          </w:p>
          <w:p w14:paraId="2E90F4A2">
            <w:pPr>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hint="eastAsia" w:ascii="宋体" w:hAnsi="宋体" w:cs="宋体"/>
                <w:color w:val="000000"/>
                <w:szCs w:val="21"/>
                <w:lang w:val="zh-TW"/>
              </w:rPr>
              <w:t>其它</w:t>
            </w:r>
            <w:r>
              <w:rPr>
                <w:rFonts w:hint="eastAsia" w:ascii="宋体" w:hAnsi="宋体"/>
                <w:color w:val="000000"/>
                <w:szCs w:val="21"/>
              </w:rPr>
              <w:t>技术参数</w:t>
            </w:r>
            <w:r>
              <w:rPr>
                <w:rFonts w:ascii="宋体" w:hAnsi="宋体"/>
                <w:color w:val="000000"/>
                <w:szCs w:val="21"/>
              </w:rPr>
              <w:t>条款</w:t>
            </w:r>
            <w:r>
              <w:rPr>
                <w:rFonts w:ascii="宋体" w:hAnsi="宋体" w:cs="宋体"/>
                <w:color w:val="000000"/>
              </w:rPr>
              <w:t>每负偏离一</w:t>
            </w:r>
            <w:r>
              <w:rPr>
                <w:rFonts w:hint="eastAsia" w:ascii="宋体" w:hAnsi="宋体" w:cs="宋体"/>
                <w:color w:val="000000"/>
              </w:rPr>
              <w:t>项</w:t>
            </w:r>
            <w:r>
              <w:rPr>
                <w:rFonts w:ascii="宋体" w:hAnsi="宋体" w:cs="宋体"/>
                <w:color w:val="000000"/>
              </w:rPr>
              <w:t>扣__2__分，</w:t>
            </w:r>
            <w:r>
              <w:rPr>
                <w:rFonts w:hint="eastAsia" w:ascii="宋体" w:hAnsi="宋体" w:cs="宋体"/>
                <w:color w:val="000000"/>
              </w:rPr>
              <w:t>扣完为</w:t>
            </w:r>
            <w:r>
              <w:rPr>
                <w:rFonts w:ascii="宋体" w:hAnsi="宋体" w:cs="宋体"/>
                <w:color w:val="000000"/>
              </w:rPr>
              <w:t>止</w:t>
            </w:r>
            <w:r>
              <w:rPr>
                <w:rFonts w:ascii="宋体" w:hAnsi="宋体"/>
                <w:color w:val="000000"/>
                <w:szCs w:val="21"/>
              </w:rPr>
              <w:t>。</w:t>
            </w:r>
          </w:p>
          <w:p w14:paraId="1F8A388B">
            <w:pPr>
              <w:widowControl/>
              <w:jc w:val="left"/>
              <w:textAlignment w:val="center"/>
              <w:rPr>
                <w:rFonts w:hint="eastAsia" w:ascii="宋体" w:hAnsi="宋体" w:cs="宋体"/>
                <w:color w:val="000000"/>
              </w:rPr>
            </w:pPr>
            <w:r>
              <w:rPr>
                <w:rFonts w:hint="eastAsia" w:ascii="宋体" w:hAnsi="宋体"/>
                <w:color w:val="000000"/>
                <w:szCs w:val="21"/>
              </w:rPr>
              <w:t>4、标注 “</w:t>
            </w:r>
            <w:r>
              <w:rPr>
                <w:rFonts w:ascii="宋体" w:hAnsi="宋体" w:cs="宋体"/>
                <w:color w:val="000000"/>
              </w:rPr>
              <w:t>★</w:t>
            </w:r>
            <w:r>
              <w:rPr>
                <w:rFonts w:hint="eastAsia" w:ascii="宋体" w:hAnsi="宋体"/>
                <w:color w:val="000000"/>
                <w:szCs w:val="21"/>
              </w:rPr>
              <w:t>”号条款</w:t>
            </w:r>
            <w:r>
              <w:rPr>
                <w:rFonts w:hint="eastAsia" w:ascii="新宋体" w:hAnsi="新宋体" w:eastAsia="新宋体"/>
                <w:color w:val="000000"/>
                <w:spacing w:val="-2"/>
                <w:szCs w:val="21"/>
              </w:rPr>
              <w:t>为实质性响应条款项，</w:t>
            </w:r>
            <w:r>
              <w:rPr>
                <w:rFonts w:ascii="宋体" w:hAnsi="宋体" w:cs="宋体"/>
                <w:color w:val="000000"/>
              </w:rPr>
              <w:t>任何一项</w:t>
            </w:r>
            <w:r>
              <w:rPr>
                <w:rFonts w:hint="eastAsia" w:ascii="宋体" w:hAnsi="宋体" w:cs="宋体"/>
                <w:color w:val="000000"/>
              </w:rPr>
              <w:t>标注</w:t>
            </w:r>
            <w:r>
              <w:rPr>
                <w:rFonts w:ascii="宋体" w:hAnsi="宋体" w:cs="宋体"/>
                <w:color w:val="000000"/>
              </w:rPr>
              <w:t>“★”号条款不满足</w:t>
            </w:r>
            <w:r>
              <w:rPr>
                <w:rFonts w:hint="eastAsia" w:ascii="宋体" w:hAnsi="宋体" w:cs="宋体"/>
                <w:color w:val="000000"/>
              </w:rPr>
              <w:t>均</w:t>
            </w:r>
            <w:r>
              <w:rPr>
                <w:rFonts w:ascii="宋体" w:hAnsi="宋体" w:cs="宋体"/>
                <w:color w:val="000000"/>
              </w:rPr>
              <w:t>属无效投标</w:t>
            </w:r>
            <w:r>
              <w:rPr>
                <w:rFonts w:hint="eastAsia" w:ascii="宋体" w:hAnsi="宋体" w:cs="宋体"/>
                <w:color w:val="000000"/>
              </w:rPr>
              <w:t>。</w:t>
            </w:r>
          </w:p>
          <w:p w14:paraId="7DADDBA6">
            <w:pPr>
              <w:widowControl/>
              <w:jc w:val="lef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5、单个产品偏离参数不得超过5条。</w:t>
            </w:r>
          </w:p>
        </w:tc>
      </w:tr>
      <w:tr w14:paraId="3760CC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615" w:type="dxa"/>
            <w:tcBorders>
              <w:right w:val="single" w:color="auto" w:sz="4" w:space="0"/>
            </w:tcBorders>
            <w:vAlign w:val="center"/>
          </w:tcPr>
          <w:p w14:paraId="3582EA37">
            <w:pPr>
              <w:adjustRightInd w:val="0"/>
              <w:snapToGrid w:val="0"/>
              <w:spacing w:before="156" w:beforeLines="50"/>
              <w:jc w:val="center"/>
              <w:rPr>
                <w:rFonts w:hint="eastAsia" w:ascii="宋体" w:hAnsi="宋体"/>
                <w:color w:val="000000"/>
                <w:szCs w:val="21"/>
              </w:rPr>
            </w:pPr>
            <w:r>
              <w:rPr>
                <w:rFonts w:hint="eastAsia" w:ascii="宋体" w:hAnsi="宋体"/>
                <w:color w:val="000000"/>
                <w:szCs w:val="21"/>
              </w:rPr>
              <w:t>3</w:t>
            </w:r>
          </w:p>
        </w:tc>
        <w:tc>
          <w:tcPr>
            <w:tcW w:w="1282" w:type="dxa"/>
            <w:vMerge w:val="restart"/>
            <w:tcBorders>
              <w:left w:val="single" w:color="auto" w:sz="4" w:space="0"/>
            </w:tcBorders>
            <w:vAlign w:val="center"/>
          </w:tcPr>
          <w:p w14:paraId="019DDF40">
            <w:pPr>
              <w:adjustRightInd w:val="0"/>
              <w:snapToGrid w:val="0"/>
              <w:jc w:val="center"/>
              <w:rPr>
                <w:rFonts w:hint="eastAsia" w:ascii="宋体" w:hAnsi="宋体"/>
                <w:color w:val="000000"/>
                <w:szCs w:val="21"/>
              </w:rPr>
            </w:pPr>
            <w:r>
              <w:rPr>
                <w:rFonts w:hint="eastAsia" w:ascii="宋体" w:hAnsi="宋体"/>
                <w:color w:val="000000"/>
                <w:szCs w:val="21"/>
              </w:rPr>
              <w:t>商务</w:t>
            </w:r>
            <w:r>
              <w:rPr>
                <w:rFonts w:ascii="宋体" w:hAnsi="宋体"/>
                <w:color w:val="000000"/>
                <w:szCs w:val="21"/>
              </w:rPr>
              <w:t>部分</w:t>
            </w:r>
          </w:p>
        </w:tc>
        <w:tc>
          <w:tcPr>
            <w:tcW w:w="1367" w:type="dxa"/>
            <w:vAlign w:val="center"/>
          </w:tcPr>
          <w:p w14:paraId="68F3479F">
            <w:pPr>
              <w:spacing w:line="320" w:lineRule="exact"/>
              <w:jc w:val="center"/>
              <w:rPr>
                <w:rFonts w:ascii="宋体" w:hAnsi="宋体"/>
                <w:color w:val="000000"/>
                <w:szCs w:val="21"/>
              </w:rPr>
            </w:pPr>
            <w:r>
              <w:rPr>
                <w:rFonts w:hint="eastAsia" w:ascii="宋体" w:hAnsi="宋体"/>
                <w:color w:val="000000"/>
                <w:szCs w:val="21"/>
              </w:rPr>
              <w:t>类似业绩</w:t>
            </w:r>
          </w:p>
          <w:p w14:paraId="27C274DA">
            <w:pPr>
              <w:pStyle w:val="5"/>
              <w:spacing w:line="320" w:lineRule="exact"/>
              <w:ind w:firstLineChars="0"/>
              <w:rPr>
                <w:rFonts w:hint="eastAsia" w:ascii="宋体" w:hAnsi="宋体"/>
                <w:color w:val="000000"/>
              </w:rPr>
            </w:pPr>
            <w:r>
              <w:rPr>
                <w:rFonts w:ascii="宋体" w:hAnsi="宋体"/>
                <w:color w:val="000000"/>
              </w:rPr>
              <w:t>4</w:t>
            </w:r>
            <w:r>
              <w:rPr>
                <w:rFonts w:hint="eastAsia" w:ascii="宋体" w:hAnsi="宋体"/>
                <w:color w:val="000000"/>
              </w:rPr>
              <w:t>分</w:t>
            </w:r>
          </w:p>
        </w:tc>
        <w:tc>
          <w:tcPr>
            <w:tcW w:w="6612" w:type="dxa"/>
            <w:vAlign w:val="center"/>
          </w:tcPr>
          <w:p w14:paraId="52422BDE">
            <w:pPr>
              <w:spacing w:line="360" w:lineRule="exact"/>
              <w:ind w:right="-36" w:rightChars="-17"/>
              <w:jc w:val="left"/>
              <w:rPr>
                <w:rFonts w:hint="eastAsia" w:ascii="宋体" w:hAnsi="宋体" w:cs="宋体"/>
                <w:color w:val="000000"/>
              </w:rPr>
            </w:pPr>
            <w:r>
              <w:rPr>
                <w:rFonts w:hint="eastAsia" w:ascii="宋体" w:hAnsi="宋体" w:cs="宋体"/>
                <w:color w:val="000000"/>
              </w:rPr>
              <w:t>投标人提供自2022年1月1日起至今所投产品同类产品业绩的，每提供 1份业绩计</w:t>
            </w:r>
            <w:r>
              <w:rPr>
                <w:rFonts w:ascii="宋体" w:hAnsi="宋体" w:cs="宋体"/>
                <w:color w:val="000000"/>
              </w:rPr>
              <w:t>2</w:t>
            </w:r>
            <w:r>
              <w:rPr>
                <w:rFonts w:hint="eastAsia" w:ascii="宋体" w:hAnsi="宋体" w:cs="宋体"/>
                <w:color w:val="000000"/>
              </w:rPr>
              <w:t>分，最高可得</w:t>
            </w:r>
            <w:r>
              <w:rPr>
                <w:rFonts w:ascii="宋体" w:hAnsi="宋体" w:cs="宋体"/>
                <w:color w:val="000000"/>
              </w:rPr>
              <w:t>4</w:t>
            </w:r>
            <w:r>
              <w:rPr>
                <w:rFonts w:hint="eastAsia" w:ascii="宋体" w:hAnsi="宋体" w:cs="宋体"/>
                <w:color w:val="000000"/>
              </w:rPr>
              <w:t>分，没提供的不得分。</w:t>
            </w:r>
          </w:p>
          <w:p w14:paraId="6A345521">
            <w:pPr>
              <w:spacing w:line="360" w:lineRule="exact"/>
              <w:jc w:val="left"/>
              <w:rPr>
                <w:rFonts w:hint="eastAsia" w:ascii="宋体" w:hAnsi="宋体" w:cs="宋体"/>
                <w:color w:val="000000"/>
              </w:rPr>
            </w:pPr>
            <w:r>
              <w:rPr>
                <w:rFonts w:hint="eastAsia" w:ascii="宋体" w:hAnsi="宋体" w:cs="宋体"/>
                <w:color w:val="000000"/>
              </w:rPr>
              <w:t>注：（1）投标文件中须附“合同复印件”  或者</w:t>
            </w:r>
          </w:p>
          <w:p w14:paraId="6FEBCF28">
            <w:pPr>
              <w:spacing w:line="360" w:lineRule="exact"/>
              <w:jc w:val="left"/>
              <w:rPr>
                <w:rFonts w:hint="eastAsia" w:ascii="宋体" w:hAnsi="宋体" w:cs="宋体"/>
                <w:color w:val="000000"/>
              </w:rPr>
            </w:pPr>
            <w:r>
              <w:rPr>
                <w:rFonts w:hint="eastAsia" w:ascii="宋体" w:hAnsi="宋体" w:cs="宋体"/>
                <w:color w:val="000000"/>
              </w:rPr>
              <w:t>“提供中标（成交）通知书原件的扫描件且须加上中标（成交）结果公告网页截图，二者不可缺漏”，否则不得分。</w:t>
            </w:r>
          </w:p>
          <w:p w14:paraId="62EB35CB">
            <w:pPr>
              <w:spacing w:line="360" w:lineRule="exact"/>
              <w:jc w:val="left"/>
              <w:rPr>
                <w:rFonts w:hint="eastAsia" w:ascii="宋体" w:hAnsi="宋体" w:cs="宋体"/>
                <w:color w:val="000000"/>
              </w:rPr>
            </w:pPr>
            <w:r>
              <w:rPr>
                <w:rFonts w:hint="eastAsia" w:ascii="宋体" w:hAnsi="宋体" w:cs="宋体"/>
                <w:color w:val="000000"/>
              </w:rPr>
              <w:t>（2）这里业绩所指为同产品业绩，既可为投标人做的业绩、也可为生产厂家或其它代理商做的同类业绩。</w:t>
            </w:r>
          </w:p>
        </w:tc>
      </w:tr>
      <w:tr w14:paraId="375842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615" w:type="dxa"/>
            <w:tcBorders>
              <w:right w:val="single" w:color="auto" w:sz="4" w:space="0"/>
            </w:tcBorders>
            <w:vAlign w:val="center"/>
          </w:tcPr>
          <w:p w14:paraId="6F0527B3">
            <w:pPr>
              <w:adjustRightInd w:val="0"/>
              <w:snapToGrid w:val="0"/>
              <w:spacing w:before="156" w:beforeLines="50"/>
              <w:jc w:val="center"/>
              <w:rPr>
                <w:rFonts w:hint="eastAsia" w:ascii="宋体" w:hAnsi="宋体"/>
                <w:color w:val="000000"/>
                <w:szCs w:val="21"/>
              </w:rPr>
            </w:pPr>
          </w:p>
        </w:tc>
        <w:tc>
          <w:tcPr>
            <w:tcW w:w="1282" w:type="dxa"/>
            <w:vMerge w:val="continue"/>
            <w:tcBorders>
              <w:left w:val="single" w:color="auto" w:sz="4" w:space="0"/>
            </w:tcBorders>
            <w:vAlign w:val="center"/>
          </w:tcPr>
          <w:p w14:paraId="7105961F">
            <w:pPr>
              <w:adjustRightInd w:val="0"/>
              <w:snapToGrid w:val="0"/>
              <w:jc w:val="center"/>
              <w:rPr>
                <w:rFonts w:hint="eastAsia" w:ascii="宋体" w:hAnsi="宋体"/>
                <w:color w:val="000000"/>
                <w:szCs w:val="21"/>
              </w:rPr>
            </w:pPr>
          </w:p>
        </w:tc>
        <w:tc>
          <w:tcPr>
            <w:tcW w:w="1367" w:type="dxa"/>
            <w:vAlign w:val="center"/>
          </w:tcPr>
          <w:p w14:paraId="29A3E5F2">
            <w:pPr>
              <w:spacing w:line="320" w:lineRule="exact"/>
              <w:jc w:val="center"/>
              <w:rPr>
                <w:rFonts w:ascii="宋体" w:hAnsi="宋体"/>
                <w:color w:val="000000"/>
                <w:szCs w:val="21"/>
              </w:rPr>
            </w:pPr>
            <w:r>
              <w:rPr>
                <w:rFonts w:hint="eastAsia" w:ascii="宋体" w:hAnsi="宋体"/>
                <w:color w:val="000000"/>
                <w:szCs w:val="21"/>
              </w:rPr>
              <w:t>售后服务方案</w:t>
            </w:r>
          </w:p>
          <w:p w14:paraId="678033CF">
            <w:pPr>
              <w:spacing w:line="320" w:lineRule="exact"/>
              <w:jc w:val="center"/>
              <w:rPr>
                <w:rFonts w:hint="eastAsia" w:ascii="宋体" w:hAnsi="宋体" w:cs="Times New Roman"/>
                <w:color w:val="000000"/>
                <w:szCs w:val="21"/>
              </w:rPr>
            </w:pPr>
            <w:r>
              <w:rPr>
                <w:rFonts w:ascii="宋体" w:hAnsi="宋体"/>
                <w:color w:val="000000"/>
                <w:szCs w:val="21"/>
              </w:rPr>
              <w:t>5</w:t>
            </w:r>
            <w:r>
              <w:rPr>
                <w:rFonts w:hint="eastAsia" w:ascii="宋体" w:hAnsi="宋体"/>
                <w:color w:val="000000"/>
                <w:szCs w:val="21"/>
              </w:rPr>
              <w:t>分</w:t>
            </w:r>
          </w:p>
        </w:tc>
        <w:tc>
          <w:tcPr>
            <w:tcW w:w="6612" w:type="dxa"/>
            <w:tcBorders>
              <w:bottom w:val="single" w:color="auto" w:sz="4" w:space="0"/>
            </w:tcBorders>
          </w:tcPr>
          <w:p w14:paraId="7499919C">
            <w:pPr>
              <w:spacing w:line="360" w:lineRule="exact"/>
              <w:rPr>
                <w:rFonts w:hint="eastAsia" w:ascii="宋体" w:hAnsi="宋体" w:cs="宋体"/>
                <w:color w:val="000000"/>
                <w:szCs w:val="24"/>
              </w:rPr>
            </w:pPr>
            <w:bookmarkStart w:id="0" w:name="OLE_LINK13"/>
            <w:bookmarkStart w:id="1" w:name="OLE_LINK12"/>
            <w:r>
              <w:rPr>
                <w:rFonts w:hint="eastAsia" w:ascii="宋体" w:hAnsi="宋体" w:cs="宋体"/>
                <w:color w:val="000000"/>
              </w:rPr>
              <w:t>根据投标人提供的售后服务方案的合理可行性及完善程度进行综合评分（共</w:t>
            </w:r>
            <w:r>
              <w:rPr>
                <w:rFonts w:ascii="宋体" w:hAnsi="宋体" w:cs="宋体"/>
                <w:color w:val="000000"/>
              </w:rPr>
              <w:t>_5_</w:t>
            </w:r>
            <w:r>
              <w:rPr>
                <w:rFonts w:hint="eastAsia" w:ascii="宋体" w:hAnsi="宋体" w:cs="宋体"/>
                <w:color w:val="000000"/>
              </w:rPr>
              <w:t>分）：</w:t>
            </w:r>
          </w:p>
          <w:p w14:paraId="2E54313E">
            <w:pPr>
              <w:spacing w:line="360" w:lineRule="exact"/>
              <w:rPr>
                <w:rFonts w:hint="eastAsia" w:ascii="宋体" w:hAnsi="宋体" w:cs="宋体"/>
                <w:color w:val="000000"/>
              </w:rPr>
            </w:pPr>
            <w:r>
              <w:rPr>
                <w:rFonts w:hint="eastAsia" w:ascii="宋体" w:hAnsi="宋体" w:cs="宋体"/>
                <w:color w:val="000000"/>
              </w:rPr>
              <w:t>评分标准：</w:t>
            </w:r>
          </w:p>
          <w:p w14:paraId="6CF256F9">
            <w:pPr>
              <w:pStyle w:val="5"/>
              <w:ind w:left="33" w:firstLine="0" w:firstLineChars="0"/>
              <w:rPr>
                <w:rFonts w:hint="eastAsia" w:ascii="宋体" w:hAnsi="宋体" w:cs="宋体"/>
                <w:color w:val="000000"/>
                <w:szCs w:val="22"/>
              </w:rPr>
            </w:pPr>
            <w:r>
              <w:rPr>
                <w:rFonts w:hint="eastAsia" w:ascii="宋体" w:hAnsi="宋体" w:cs="宋体"/>
                <w:color w:val="000000"/>
                <w:szCs w:val="22"/>
              </w:rPr>
              <w:t>投标人所提供的售后服务方案应包括且不限于①有完整的售后服务体系；②按时供货保障措施；③设备安装调试方案；④对操作人员培训方案；⑤明确维修响应时间与技术支持等内容。</w:t>
            </w:r>
          </w:p>
          <w:p w14:paraId="6FA3B8F6">
            <w:pPr>
              <w:pStyle w:val="5"/>
              <w:ind w:left="33" w:firstLine="0" w:firstLineChars="0"/>
              <w:rPr>
                <w:rFonts w:hint="eastAsia" w:ascii="宋体" w:hAnsi="宋体" w:cs="宋体"/>
                <w:color w:val="000000"/>
                <w:szCs w:val="22"/>
              </w:rPr>
            </w:pPr>
            <w:r>
              <w:rPr>
                <w:rFonts w:hint="eastAsia" w:ascii="宋体" w:hAnsi="宋体" w:cs="宋体"/>
                <w:color w:val="000000"/>
                <w:szCs w:val="22"/>
              </w:rPr>
              <w:t>方案完整无缺漏的计_</w:t>
            </w:r>
            <w:r>
              <w:rPr>
                <w:rFonts w:ascii="宋体" w:hAnsi="宋体" w:cs="宋体"/>
                <w:color w:val="000000"/>
                <w:szCs w:val="22"/>
              </w:rPr>
              <w:t>5</w:t>
            </w:r>
            <w:r>
              <w:rPr>
                <w:rFonts w:hint="eastAsia" w:ascii="宋体" w:hAnsi="宋体" w:cs="宋体"/>
                <w:color w:val="000000"/>
                <w:szCs w:val="22"/>
              </w:rPr>
              <w:t>_分，有缺漏的每处扣</w:t>
            </w:r>
            <w:r>
              <w:rPr>
                <w:rFonts w:ascii="宋体" w:hAnsi="宋体" w:cs="宋体"/>
                <w:color w:val="000000"/>
                <w:szCs w:val="22"/>
              </w:rPr>
              <w:t>1</w:t>
            </w:r>
            <w:r>
              <w:rPr>
                <w:rFonts w:hint="eastAsia" w:ascii="宋体" w:hAnsi="宋体" w:cs="宋体"/>
                <w:color w:val="000000"/>
                <w:szCs w:val="22"/>
              </w:rPr>
              <w:t>分，最高扣5分。</w:t>
            </w:r>
            <w:bookmarkEnd w:id="0"/>
            <w:bookmarkEnd w:id="1"/>
          </w:p>
        </w:tc>
      </w:tr>
    </w:tbl>
    <w:p w14:paraId="2D7F030B"/>
    <w:p w14:paraId="32995B9E"/>
    <w:p w14:paraId="37F2951B"/>
    <w:p w14:paraId="19CEA86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A8147"/>
    <w:multiLevelType w:val="singleLevel"/>
    <w:tmpl w:val="55EA8147"/>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7D"/>
    <w:rsid w:val="0053359B"/>
    <w:rsid w:val="00575F17"/>
    <w:rsid w:val="0076667D"/>
    <w:rsid w:val="00B72DE5"/>
    <w:rsid w:val="00D203BC"/>
    <w:rsid w:val="0BBA3662"/>
    <w:rsid w:val="40AD6936"/>
    <w:rsid w:val="48A8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qFormat/>
    <w:uiPriority w:val="34"/>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3193</Words>
  <Characters>3574</Characters>
  <Lines>5</Lines>
  <Paragraphs>1</Paragraphs>
  <TotalTime>122</TotalTime>
  <ScaleCrop>false</ScaleCrop>
  <LinksUpToDate>false</LinksUpToDate>
  <CharactersWithSpaces>3599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2025-09-15T14:59:00Z</dcterms:created>
  <dc:creator>微软用户</dc:creator>
  <cp:lastModifiedBy>sisi</cp:lastModifiedBy>
  <cp:lastPrinted>2025-09-17T01:29:00Z</cp:lastPrinted>
  <dcterms:modified xsi:type="dcterms:W3CDTF">2025-09-18T12:02:51Z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eyJoZGlkIjoiZTZjZGE0M2QyMzY1NjE3NmJmYjIzYjg0ODNjYjQ1Y2MiLCJ1c2VySWQiOiI1NDgyNjAxNjAifQ==</vt:lpwstr>
  </property>
  <property fmtid="{D5CDD505-2E9C-101B-9397-08002B2CF9AE}" pid="3" name="KSOProductBuildVer">
    <vt:lpwstr>2052-12.1.0.21915</vt:lpwstr>
  </property>
  <property fmtid="{D5CDD505-2E9C-101B-9397-08002B2CF9AE}" pid="4" name="ICV">
    <vt:lpwstr>D2CB66E1A555463D864AE9189498272B_13</vt:lpwstr>
  </property>
</Properties>
</file>