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3BFE6">
      <w:pPr>
        <w:jc w:val="left"/>
        <w:rPr>
          <w:rFonts w:hint="eastAsia"/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采购需求</w:t>
      </w:r>
    </w:p>
    <w:bookmarkEnd w:id="0"/>
    <w:p w14:paraId="61C7AEB5">
      <w:pPr>
        <w:jc w:val="center"/>
        <w:rPr>
          <w:b/>
          <w:sz w:val="32"/>
          <w:szCs w:val="32"/>
        </w:rPr>
      </w:pPr>
    </w:p>
    <w:p w14:paraId="1DD6633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采购</w:t>
      </w:r>
      <w:r>
        <w:rPr>
          <w:b/>
          <w:sz w:val="32"/>
          <w:szCs w:val="32"/>
        </w:rPr>
        <w:t>需求</w:t>
      </w:r>
    </w:p>
    <w:p w14:paraId="521FA8F1"/>
    <w:tbl>
      <w:tblPr>
        <w:tblStyle w:val="10"/>
        <w:tblW w:w="50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"/>
        <w:gridCol w:w="1813"/>
        <w:gridCol w:w="3688"/>
        <w:gridCol w:w="2213"/>
        <w:gridCol w:w="844"/>
        <w:gridCol w:w="14"/>
      </w:tblGrid>
      <w:tr w14:paraId="1EB5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4991" w:type="pct"/>
            <w:gridSpan w:val="5"/>
            <w:vAlign w:val="center"/>
          </w:tcPr>
          <w:p w14:paraId="1EF0E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包一</w:t>
            </w:r>
          </w:p>
        </w:tc>
      </w:tr>
      <w:tr w14:paraId="58DB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gridAfter w:val="1"/>
          <w:wAfter w:w="8" w:type="pct"/>
          <w:trHeight w:val="8809" w:hRule="atLeast"/>
          <w:jc w:val="center"/>
        </w:trPr>
        <w:tc>
          <w:tcPr>
            <w:tcW w:w="4991" w:type="pct"/>
            <w:gridSpan w:val="5"/>
            <w:vAlign w:val="center"/>
          </w:tcPr>
          <w:p w14:paraId="448A09A3">
            <w:pPr>
              <w:snapToGrid w:val="0"/>
            </w:pPr>
          </w:p>
          <w:p w14:paraId="39A47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第一节 技术要求</w:t>
            </w:r>
          </w:p>
          <w:p w14:paraId="156F9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1.监护仪主机采用无风扇设计，所有监测参数功能模块均需内置于主机内部（一体化结构设计），坚固耐用；（提供彩页证明材料复印件并加盖供应商单位鲜章）</w:t>
            </w:r>
          </w:p>
          <w:p w14:paraId="2DE5A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2.主机平放具备10度屏幕仰角，方便医护人员观察监测界面；</w:t>
            </w:r>
          </w:p>
          <w:p w14:paraId="67C98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3.采用≥10英寸彩色LED显示屏，7通道波形显示，可选配触摸屏；</w:t>
            </w:r>
          </w:p>
          <w:p w14:paraId="51164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4.标准配置可监测心电，呼吸，无创血压，血氧饱和度，脉搏和体温；</w:t>
            </w:r>
          </w:p>
          <w:p w14:paraId="1ECAD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ECG采用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大于等于三导实时动态同步分析技术，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有效减少监护仪的误报警和漏报警等情况的发生，避免临床决策失误；</w:t>
            </w:r>
          </w:p>
          <w:p w14:paraId="4DBB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.具备智能导联脱落监测功能；（提供说明书证明材料复印件并加盖供应商单位鲜章）</w:t>
            </w:r>
          </w:p>
          <w:p w14:paraId="6B93F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.支持不少于20种实时心律失常分析报警，并包括房颤报警（非心电静息分析，无需导入中央站即可实现监测分析）；</w:t>
            </w:r>
          </w:p>
          <w:p w14:paraId="6418B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.采用的数字血氧探头和监护仪主机是相同品牌的，以保证血氧监测的兼容性和准确性，可显示PI血氧灌注指数，有效反映血氧灌注情况；</w:t>
            </w:r>
          </w:p>
          <w:p w14:paraId="391E1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.NIBP收缩压范围：成人：25-290 mmHg；小儿：25-240 mmHg；新生儿：25-140mmHg；</w:t>
            </w:r>
          </w:p>
          <w:p w14:paraId="371F0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.舒张压范围：成人：10-250 mmHg； 小儿：10-200 mmHg；新生儿：10-115mmHg；</w:t>
            </w:r>
          </w:p>
          <w:p w14:paraId="5D577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平均压范围：成人：15-260 mmHg；小儿：15-215 mmHg；新生儿：15-125mmHg</w:t>
            </w:r>
          </w:p>
          <w:p w14:paraId="4850F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脉率范围：30-300 bpm；</w:t>
            </w:r>
          </w:p>
          <w:p w14:paraId="55BD8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.标配一块锂电池，单块锂电池续航能力不低于4小时，同时可选配高容量锂电池，单块高容量锂电池续航能力不低于6小时；</w:t>
            </w:r>
          </w:p>
          <w:p w14:paraId="2EA4D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.支持血压动态分析功能，针对最近24小时的所有NIBP测量数据进行基本的统计分析，并支持显示和打印；</w:t>
            </w:r>
          </w:p>
          <w:p w14:paraId="5ECCD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.可以选配支持IPX7防水的血氧探头，支持水下测量；</w:t>
            </w:r>
          </w:p>
          <w:p w14:paraId="6BAD1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.NIBP可选择初始充气压力，提升测量的准确性和患者舒适性，同时支持血氧和血压同侧监测；</w:t>
            </w:r>
          </w:p>
          <w:p w14:paraId="7EFD6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.可以选配采用超声缝合无内胆设计的NIBP袖带，能够进行水洗清洁和侵泡消毒；</w:t>
            </w:r>
          </w:p>
          <w:p w14:paraId="43261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.采用收纳盒设计，使附件管理更加高效；（提供彩页证明材料复印件并加盖供应商单位鲜章）</w:t>
            </w:r>
          </w:p>
          <w:p w14:paraId="51B4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.可保存1200小时的趋势数据；48小时全息波形回顾；1800个报警事件；1600组NIBP测量的数据存储和回顾功能；（提供说明书证明材料复印件并加盖供应商单位鲜章）</w:t>
            </w:r>
          </w:p>
          <w:p w14:paraId="337F6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.监护仪材料防火等级可达最高V-0级别，通过UL防火测试，通过CE认证。</w:t>
            </w:r>
          </w:p>
          <w:p w14:paraId="45D3C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19、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支持监护仪的系统日志，通过U 盘导出，日志包括系统状态，异常、和技术报警。满足设备管理的日常维护需求（提供说明书，证明文件）</w:t>
            </w:r>
          </w:p>
          <w:p w14:paraId="4F851C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商务要求</w:t>
            </w:r>
          </w:p>
          <w:p w14:paraId="328B0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-248" w:rightChars="-118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1、运输、安装、调试：由成交供应商负责承担,最终通过用户及有关部门验收交付使用。</w:t>
            </w:r>
          </w:p>
          <w:p w14:paraId="4525C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-248" w:rightChars="-118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2、交货时间：合同签订后10个工作日内完成运输、安装调试并交付使用。</w:t>
            </w:r>
          </w:p>
          <w:p w14:paraId="55A9A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-248" w:rightChars="-118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3、交货地点：娄底市中医医院  </w:t>
            </w:r>
          </w:p>
          <w:p w14:paraId="71E97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-248" w:rightChars="-118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4、付款方式：货到验收、发票入账后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个月</w:t>
            </w:r>
            <w:r>
              <w:rPr>
                <w:rFonts w:hint="eastAsia" w:ascii="宋体" w:hAnsi="宋体"/>
                <w:szCs w:val="21"/>
                <w:lang w:eastAsia="zh-CN"/>
              </w:rPr>
              <w:t>内</w:t>
            </w:r>
            <w:r>
              <w:rPr>
                <w:rFonts w:hint="eastAsia" w:ascii="宋体" w:hAnsi="宋体"/>
                <w:szCs w:val="21"/>
              </w:rPr>
              <w:t>支付到总货款的90%，余款无质量问题及维保、巡检符合招标文件要求后1年后付清。</w:t>
            </w:r>
          </w:p>
          <w:p w14:paraId="75516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-248" w:rightChars="-118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5、质保期不少于1年。</w:t>
            </w:r>
          </w:p>
          <w:p w14:paraId="64080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-248" w:rightChars="-118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  <w:lang w:val="en"/>
              </w:rPr>
              <w:t>6</w:t>
            </w:r>
            <w:r>
              <w:rPr>
                <w:rFonts w:hint="eastAsia" w:ascii="宋体" w:hAnsi="宋体"/>
                <w:szCs w:val="21"/>
                <w:lang w:val="en"/>
              </w:rPr>
              <w:t>、</w:t>
            </w:r>
            <w:r>
              <w:rPr>
                <w:rFonts w:hint="eastAsia" w:ascii="宋体" w:hAnsi="宋体"/>
                <w:szCs w:val="21"/>
              </w:rPr>
              <w:t>质保期内不少于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次/年的巡检及维保工作，并由使用科室和医学装备部双签名确认。</w:t>
            </w:r>
          </w:p>
          <w:p w14:paraId="01F8C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-248" w:rightChars="-118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7、提供详细配置清单，提供易耗品清单及单价（若有）。</w:t>
            </w:r>
          </w:p>
          <w:p w14:paraId="32193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-248" w:rightChars="-118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8、提供所投产品厂方技术参数等证明材料。</w:t>
            </w:r>
          </w:p>
          <w:p w14:paraId="56D6C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-248" w:rightChars="-118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9、培训：所有设备须提供不少于3次的现场操作培训（而且不限于现场操作指导、跟台技术指导），直到医院科室该设备操作人员熟练操作使用为止。</w:t>
            </w:r>
          </w:p>
          <w:p w14:paraId="2AB24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-248" w:rightChars="-118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10、满足第二章投标人须知前附表要求和第三章采购合同条款要求。</w:t>
            </w:r>
          </w:p>
          <w:p w14:paraId="1DE2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-248" w:rightChars="-118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11、交货时设备使用说明书、合格证、装箱清单等资料提供2份（原件、复印件各1份，使用科室、医学装备部各1份）</w:t>
            </w:r>
          </w:p>
        </w:tc>
      </w:tr>
      <w:tr w14:paraId="3D76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gridAfter w:val="1"/>
          <w:wAfter w:w="8" w:type="pct"/>
          <w:trHeight w:val="90" w:hRule="atLeast"/>
          <w:jc w:val="center"/>
        </w:trPr>
        <w:tc>
          <w:tcPr>
            <w:tcW w:w="4991" w:type="pct"/>
            <w:gridSpan w:val="5"/>
            <w:vAlign w:val="center"/>
          </w:tcPr>
          <w:p w14:paraId="733E3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包二</w:t>
            </w:r>
          </w:p>
        </w:tc>
      </w:tr>
      <w:tr w14:paraId="43E0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gridAfter w:val="1"/>
          <w:wAfter w:w="8" w:type="pct"/>
          <w:trHeight w:val="412" w:hRule="atLeast"/>
          <w:jc w:val="center"/>
        </w:trPr>
        <w:tc>
          <w:tcPr>
            <w:tcW w:w="4991" w:type="pct"/>
            <w:gridSpan w:val="5"/>
            <w:vAlign w:val="center"/>
          </w:tcPr>
          <w:p w14:paraId="17D9E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第一节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技术指标</w:t>
            </w:r>
          </w:p>
          <w:p w14:paraId="0C80B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配置要求：国产cpu/32核心*2/32G*8/1,2TSAS*3+480GSSD/SR430/4*GE/900W*2</w:t>
            </w:r>
          </w:p>
        </w:tc>
      </w:tr>
      <w:tr w14:paraId="2E00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gridAfter w:val="1"/>
          <w:wAfter w:w="8" w:type="pct"/>
          <w:trHeight w:val="2175" w:hRule="atLeast"/>
          <w:jc w:val="center"/>
        </w:trPr>
        <w:tc>
          <w:tcPr>
            <w:tcW w:w="4991" w:type="pct"/>
            <w:gridSpan w:val="5"/>
            <w:vAlign w:val="center"/>
          </w:tcPr>
          <w:p w14:paraId="6B8AA7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0"/>
              <w:jc w:val="center"/>
              <w:textAlignment w:val="auto"/>
              <w:outlineLvl w:val="0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第二节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商务要求</w:t>
            </w:r>
          </w:p>
          <w:p w14:paraId="5755D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1、要求中标方在签订合同后货到1天内完成安装调试，并且完成湖南省检查检验互认平台部署调试，如未能在约定时间内完成责由甲方有权更换供应商，无需进行任何补偿。</w:t>
            </w:r>
          </w:p>
          <w:p w14:paraId="7E58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2.项目实施</w:t>
            </w:r>
          </w:p>
          <w:p w14:paraId="3DB56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2.1结合医院实际情况，拟定详细的系统实施计划，含测试、试运行、培训及上线计划。承诺在合同规定时间内上线及上线系统的稳定性。</w:t>
            </w:r>
          </w:p>
          <w:p w14:paraId="19BB2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2.3在项目实施过程中，采购人根据实际需求提出软件更改的要求，中标人应尽量予以满足，如有重大需求变更，须经使用科室和信息中心确认后方可实施。</w:t>
            </w:r>
          </w:p>
          <w:p w14:paraId="057E5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3.培训服务</w:t>
            </w:r>
          </w:p>
          <w:p w14:paraId="16B31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培训内容包括系统功能操作、业务流程、常见问题处理等方面，确保相关人员能够熟练掌握并运用系统开展工作。</w:t>
            </w:r>
          </w:p>
          <w:p w14:paraId="5639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4.售后服务</w:t>
            </w:r>
          </w:p>
          <w:p w14:paraId="7C60A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4.1提供从验收合格之日起一年的免费维保服务。</w:t>
            </w:r>
          </w:p>
          <w:p w14:paraId="0EDBA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4.2提供7*24小时故障服务受理，故障发生后30分钟内提供远程技术支持，故障严重或医院要求的情况下4小时内到达现场解决问题，并在8小时内完成故障处理工作。做到及时解决问题，保障系统正常运行。</w:t>
            </w:r>
          </w:p>
          <w:p w14:paraId="6394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4.3定期对系统进行维护、巡检，包括服务器性能监测、数据库优化、安全漏洞扫描等工作。免费维保期内提供免费的人员培训、bug修复、升级软件等技术支持服务。</w:t>
            </w:r>
          </w:p>
          <w:p w14:paraId="38EAC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5.付款方式：货到验收、发票入账6个月内支付到总货款的90%，质保期满后6个月支付合同余款。</w:t>
            </w:r>
          </w:p>
        </w:tc>
      </w:tr>
      <w:tr w14:paraId="1CCC9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385" w:hRule="atLeast"/>
          <w:jc w:val="center"/>
        </w:trPr>
        <w:tc>
          <w:tcPr>
            <w:tcW w:w="4991" w:type="pct"/>
            <w:gridSpan w:val="5"/>
          </w:tcPr>
          <w:p w14:paraId="78E70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包三</w:t>
            </w:r>
          </w:p>
        </w:tc>
      </w:tr>
      <w:tr w14:paraId="1CB9D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385" w:hRule="atLeast"/>
          <w:jc w:val="center"/>
        </w:trPr>
        <w:tc>
          <w:tcPr>
            <w:tcW w:w="4991" w:type="pct"/>
            <w:gridSpan w:val="5"/>
          </w:tcPr>
          <w:p w14:paraId="58E22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第一节 技术要求</w:t>
            </w:r>
          </w:p>
        </w:tc>
      </w:tr>
      <w:tr w14:paraId="67ADD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pct"/>
          <w:jc w:val="center"/>
        </w:trPr>
        <w:tc>
          <w:tcPr>
            <w:tcW w:w="1057" w:type="pct"/>
          </w:tcPr>
          <w:p w14:paraId="24175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2150" w:type="pct"/>
          </w:tcPr>
          <w:p w14:paraId="3644B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厂家</w:t>
            </w:r>
          </w:p>
        </w:tc>
        <w:tc>
          <w:tcPr>
            <w:tcW w:w="1290" w:type="pct"/>
          </w:tcPr>
          <w:p w14:paraId="3CCB1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9" w:type="pct"/>
            <w:gridSpan w:val="2"/>
          </w:tcPr>
          <w:p w14:paraId="7A853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预算（元）</w:t>
            </w:r>
          </w:p>
        </w:tc>
      </w:tr>
      <w:tr w14:paraId="4EE32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pct"/>
          <w:jc w:val="center"/>
        </w:trPr>
        <w:tc>
          <w:tcPr>
            <w:tcW w:w="1057" w:type="pct"/>
            <w:vMerge w:val="restart"/>
            <w:shd w:val="clear" w:color="auto" w:fill="auto"/>
            <w:vAlign w:val="center"/>
          </w:tcPr>
          <w:p w14:paraId="1BBDA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1、动物实验耗材及试剂</w:t>
            </w:r>
          </w:p>
          <w:p w14:paraId="40BEC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01034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SPF级SD大鼠：湖南斯莱克景达实验动物有限公司</w:t>
            </w:r>
          </w:p>
        </w:tc>
        <w:tc>
          <w:tcPr>
            <w:tcW w:w="1290" w:type="pct"/>
            <w:vMerge w:val="restart"/>
            <w:shd w:val="clear" w:color="auto" w:fill="auto"/>
            <w:vAlign w:val="center"/>
          </w:tcPr>
          <w:p w14:paraId="02C2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辐照饲料30Kg，辐照垫料20Kg，弗氏完全佐剂10ml，灭活结核杆菌200mg，SPF级SD大鼠（200g±20g）30只；</w:t>
            </w:r>
          </w:p>
        </w:tc>
        <w:tc>
          <w:tcPr>
            <w:tcW w:w="499" w:type="pct"/>
            <w:gridSpan w:val="2"/>
            <w:vMerge w:val="restart"/>
          </w:tcPr>
          <w:p w14:paraId="36C6E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C097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ECF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354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B509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39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4394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1FB3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687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EE5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31800</w:t>
            </w:r>
          </w:p>
        </w:tc>
      </w:tr>
      <w:tr w14:paraId="5E0D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pct"/>
          <w:trHeight w:val="1390" w:hRule="atLeast"/>
          <w:jc w:val="center"/>
        </w:trPr>
        <w:tc>
          <w:tcPr>
            <w:tcW w:w="1057" w:type="pct"/>
            <w:vMerge w:val="continue"/>
          </w:tcPr>
          <w:p w14:paraId="242EC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4E339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弗氏完全佐剂：MERCK Sigma-Aldrich</w:t>
            </w:r>
          </w:p>
        </w:tc>
        <w:tc>
          <w:tcPr>
            <w:tcW w:w="1290" w:type="pct"/>
            <w:vMerge w:val="continue"/>
          </w:tcPr>
          <w:p w14:paraId="290B2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gridSpan w:val="2"/>
            <w:vMerge w:val="continue"/>
          </w:tcPr>
          <w:p w14:paraId="252D1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6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pct"/>
          <w:trHeight w:val="623" w:hRule="atLeast"/>
          <w:jc w:val="center"/>
        </w:trPr>
        <w:tc>
          <w:tcPr>
            <w:tcW w:w="1057" w:type="pct"/>
            <w:vMerge w:val="continue"/>
          </w:tcPr>
          <w:p w14:paraId="0048A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3E076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辐照饲料</w:t>
            </w:r>
          </w:p>
        </w:tc>
        <w:tc>
          <w:tcPr>
            <w:tcW w:w="1290" w:type="pct"/>
            <w:vMerge w:val="continue"/>
          </w:tcPr>
          <w:p w14:paraId="589BE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gridSpan w:val="2"/>
            <w:vMerge w:val="continue"/>
          </w:tcPr>
          <w:p w14:paraId="5E373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26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pct"/>
          <w:trHeight w:val="649" w:hRule="atLeast"/>
          <w:jc w:val="center"/>
        </w:trPr>
        <w:tc>
          <w:tcPr>
            <w:tcW w:w="1057" w:type="pct"/>
            <w:vMerge w:val="continue"/>
          </w:tcPr>
          <w:p w14:paraId="3B69E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16983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辐照垫料</w:t>
            </w:r>
          </w:p>
        </w:tc>
        <w:tc>
          <w:tcPr>
            <w:tcW w:w="1290" w:type="pct"/>
            <w:vMerge w:val="continue"/>
          </w:tcPr>
          <w:p w14:paraId="2140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gridSpan w:val="2"/>
            <w:vMerge w:val="continue"/>
          </w:tcPr>
          <w:p w14:paraId="5E929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78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pct"/>
          <w:trHeight w:val="1414" w:hRule="atLeast"/>
          <w:jc w:val="center"/>
        </w:trPr>
        <w:tc>
          <w:tcPr>
            <w:tcW w:w="1057" w:type="pct"/>
            <w:vMerge w:val="continue"/>
          </w:tcPr>
          <w:p w14:paraId="37C08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70FFC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灭活结核杆菌：Becton, Dickinson and Company</w:t>
            </w:r>
          </w:p>
        </w:tc>
        <w:tc>
          <w:tcPr>
            <w:tcW w:w="1290" w:type="pct"/>
            <w:vMerge w:val="continue"/>
          </w:tcPr>
          <w:p w14:paraId="371F2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gridSpan w:val="2"/>
            <w:vMerge w:val="continue"/>
          </w:tcPr>
          <w:p w14:paraId="04335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C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pct"/>
          <w:trHeight w:val="1111" w:hRule="atLeast"/>
          <w:jc w:val="center"/>
        </w:trPr>
        <w:tc>
          <w:tcPr>
            <w:tcW w:w="1057" w:type="pct"/>
            <w:shd w:val="clear" w:color="auto" w:fill="auto"/>
            <w:vAlign w:val="center"/>
          </w:tcPr>
          <w:p w14:paraId="3CC51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2、TNF-α、IL-6、IL-17、CRP四个抗体 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39D29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抗体：Proteintech和Abiowell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7A5E9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各50μl</w:t>
            </w:r>
          </w:p>
        </w:tc>
        <w:tc>
          <w:tcPr>
            <w:tcW w:w="499" w:type="pct"/>
            <w:gridSpan w:val="2"/>
            <w:vMerge w:val="continue"/>
          </w:tcPr>
          <w:p w14:paraId="15475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9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pct"/>
          <w:trHeight w:val="1507" w:hRule="atLeast"/>
          <w:jc w:val="center"/>
        </w:trPr>
        <w:tc>
          <w:tcPr>
            <w:tcW w:w="1057" w:type="pct"/>
            <w:shd w:val="clear" w:color="auto" w:fill="auto"/>
            <w:vAlign w:val="center"/>
          </w:tcPr>
          <w:p w14:paraId="11B18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3、入血成分检测，血清代谢组学分析检测（三个组，每个组5个样本，共计15份样本）；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5A9F8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提供检测服务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2D0A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（三个组，每个组5个样本，共计15份样本）；</w:t>
            </w:r>
          </w:p>
        </w:tc>
        <w:tc>
          <w:tcPr>
            <w:tcW w:w="499" w:type="pct"/>
            <w:gridSpan w:val="2"/>
            <w:vMerge w:val="continue"/>
          </w:tcPr>
          <w:p w14:paraId="76BB1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5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pct"/>
          <w:jc w:val="center"/>
        </w:trPr>
        <w:tc>
          <w:tcPr>
            <w:tcW w:w="1057" w:type="pct"/>
            <w:shd w:val="clear" w:color="auto" w:fill="auto"/>
            <w:vAlign w:val="center"/>
          </w:tcPr>
          <w:p w14:paraId="1C3CF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4、免疫组化检测费用（三个组，每个组5个样本，4个检测指标：TNF-α、IL-6、IL-17、CRP）；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25D7C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提供检测服</w:t>
            </w:r>
          </w:p>
          <w:p w14:paraId="0FE37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12259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（三个组，每个组5个样本，4个检测指标：TNF-α、IL-6、IL-17、CRP）；</w:t>
            </w:r>
          </w:p>
        </w:tc>
        <w:tc>
          <w:tcPr>
            <w:tcW w:w="499" w:type="pct"/>
            <w:gridSpan w:val="2"/>
            <w:vMerge w:val="continue"/>
          </w:tcPr>
          <w:p w14:paraId="41D72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3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pct"/>
          <w:jc w:val="center"/>
        </w:trPr>
        <w:tc>
          <w:tcPr>
            <w:tcW w:w="4997" w:type="pct"/>
            <w:gridSpan w:val="5"/>
            <w:shd w:val="clear" w:color="auto" w:fill="auto"/>
            <w:vAlign w:val="center"/>
          </w:tcPr>
          <w:p w14:paraId="6C044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3FD98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第二节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商务要求</w:t>
            </w:r>
          </w:p>
          <w:p w14:paraId="78B5F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1、服务资质：主要研究者要求具有中、高级职称，且参加过多个相关临床前试验，并具有样本相应的检测资质及服务。</w:t>
            </w:r>
          </w:p>
          <w:p w14:paraId="6DA2E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2、实验设施与设备资质：有符合实验要求的场地，设施需符合相关法规和标准；制定并执行标准操作规程，以确保数据准确可靠、实验规范、可重复。</w:t>
            </w:r>
          </w:p>
          <w:p w14:paraId="53F75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3、动物实验资质：有SPF级别动物房且具有动物使用许可证；设立独立的伦理委员会，其组成和运作符合相关法规。</w:t>
            </w:r>
          </w:p>
          <w:p w14:paraId="3767F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4、现场审查公司资质，提供试剂、耗材等样品，确定样品后才算竞价有效。</w:t>
            </w:r>
          </w:p>
          <w:p w14:paraId="3F343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5、中标方承诺按照行业通行技术标准及实验规范开展实验工作，对实验过程实施全程质量控制，并采取一切必要措施确保实验数据及检测结果的准确性、完整性和可追溯性。</w:t>
            </w:r>
          </w:p>
          <w:p w14:paraId="49B1A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6、为方便医院查阅实验数据，中标方需提供数据保存服务，保存期限至课题结题。</w:t>
            </w:r>
          </w:p>
          <w:p w14:paraId="538F8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7、凡与本项目相关的内容，包括但不限于技术资料、研究资料、认证结果等，中标方均应当严格保密。</w:t>
            </w:r>
          </w:p>
          <w:p w14:paraId="374E8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8、中标方所提供的耗材应为符合国家质量标准的合格产品且所有证件、手续合法齐全，按要求储存、运输(冷链)、包装等。</w:t>
            </w:r>
          </w:p>
          <w:p w14:paraId="0CB7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9、在项目实施过程中，采购人根据课题研究提出实际的需求，中标方应尽量予以满足。</w:t>
            </w:r>
          </w:p>
          <w:p w14:paraId="367E3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10、项目验收合格、开具发票后1个月内支付合同金额100%。</w:t>
            </w:r>
          </w:p>
        </w:tc>
      </w:tr>
    </w:tbl>
    <w:p w14:paraId="5A608187"/>
    <w:p w14:paraId="033AD1DC">
      <w:pPr>
        <w:rPr>
          <w:rFonts w:hint="eastAsia"/>
        </w:rPr>
      </w:pPr>
    </w:p>
    <w:p w14:paraId="70ED4F17"/>
    <w:p w14:paraId="61C4F77D"/>
    <w:p w14:paraId="3FE5C8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E96D5"/>
    <w:multiLevelType w:val="multilevel"/>
    <w:tmpl w:val="88CE96D5"/>
    <w:lvl w:ilvl="0" w:tentative="0">
      <w:start w:val="1"/>
      <w:numFmt w:val="chineseCounting"/>
      <w:pStyle w:val="2"/>
      <w:suff w:val="nothing"/>
      <w:lvlText w:val="第%1章 "/>
      <w:lvlJc w:val="left"/>
      <w:pPr>
        <w:tabs>
          <w:tab w:val="left" w:pos="0"/>
        </w:tabs>
        <w:ind w:left="0" w:firstLine="402"/>
      </w:pPr>
      <w:rPr>
        <w:rFonts w:hint="eastAsia" w:ascii="方正小标宋简体" w:hAnsi="方正小标宋简体" w:eastAsia="方正小标宋简体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55EA8147"/>
    <w:multiLevelType w:val="singleLevel"/>
    <w:tmpl w:val="55EA8147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83143"/>
    <w:rsid w:val="04C3056B"/>
    <w:rsid w:val="13787DD4"/>
    <w:rsid w:val="13A83143"/>
    <w:rsid w:val="17305CAD"/>
    <w:rsid w:val="21E020C6"/>
    <w:rsid w:val="235A5E8C"/>
    <w:rsid w:val="28BC3DB9"/>
    <w:rsid w:val="30A777F8"/>
    <w:rsid w:val="320F1208"/>
    <w:rsid w:val="51C02B44"/>
    <w:rsid w:val="5F6D3E61"/>
    <w:rsid w:val="681151C8"/>
    <w:rsid w:val="6A77513B"/>
    <w:rsid w:val="797C43F6"/>
    <w:rsid w:val="7ABA4368"/>
    <w:rsid w:val="7BDB201C"/>
    <w:rsid w:val="7F9B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firstLine="0"/>
      <w:jc w:val="center"/>
      <w:outlineLvl w:val="0"/>
    </w:pPr>
    <w:rPr>
      <w:rFonts w:ascii="Times New Roman" w:hAnsi="Times New Roman" w:eastAsia="方正小标宋简体" w:cs="Times New Roman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黑体" w:cs="Times New Roman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outlineLvl w:val="2"/>
    </w:pPr>
    <w:rPr>
      <w:rFonts w:ascii="黑体" w:hAnsi="黑体" w:eastAsia="黑体" w:cs="Times New Roman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360" w:lineRule="auto"/>
      <w:ind w:firstLine="723" w:firstLineChars="100"/>
      <w:outlineLvl w:val="3"/>
    </w:pPr>
    <w:rPr>
      <w:rFonts w:ascii="宋体" w:hAnsi="宋体" w:eastAsia="宋体" w:cs="Times New Roman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4"/>
      <w:szCs w:val="20"/>
      <w:lang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1446" w:firstLineChars="200"/>
      <w:outlineLvl w:val="5"/>
    </w:pPr>
    <w:rPr>
      <w:rFonts w:ascii="宋体" w:hAnsi="宋体" w:eastAsia="宋体" w:cs="Times New Roman"/>
      <w:b/>
      <w:sz w:val="28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1446" w:firstLineChars="200"/>
      <w:outlineLvl w:val="6"/>
    </w:pPr>
    <w:rPr>
      <w:rFonts w:ascii="宋体" w:hAnsi="宋体" w:eastAsia="宋体" w:cs="Times New Roman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2025-10-13T07:25:00Z</dcterms:created>
  <dc:creator>sisi</dc:creator>
  <cp:lastModifiedBy>sisi</cp:lastModifiedBy>
  <dcterms:modified xsi:type="dcterms:W3CDTF">2025-10-13T07:31:42Z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0A46487293E64BD7BE683256B6C0415F_11</vt:lpwstr>
  </property>
  <property fmtid="{D5CDD505-2E9C-101B-9397-08002B2CF9AE}" pid="4" name="KSOTemplateDocerSaveRecord">
    <vt:lpwstr>eyJoZGlkIjoiMTFmODRhMGJkZjg0NGIyZDNkOTRkNTBmMmY5ZTU4MTkiLCJ1c2VySWQiOiIzMjE3MDI0MzYifQ==</vt:lpwstr>
  </property>
</Properties>
</file>