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5664F5B">
      <w:pPr>
        <w:jc w:val="both"/>
      </w:pPr>
      <w:bookmarkStart w:id="2" w:name="_GoBack"/>
      <w:r>
        <w:rPr>
          <w:rFonts w:hint="eastAsia"/>
          <w:b/>
          <w:sz w:val="28"/>
          <w:szCs w:val="28"/>
          <w:lang w:eastAsia="zh-CN"/>
        </w:rPr>
        <w:t>附件</w:t>
      </w:r>
      <w:r>
        <w:rPr>
          <w:rFonts w:hint="eastAsia"/>
          <w:b/>
          <w:sz w:val="28"/>
          <w:szCs w:val="28"/>
          <w:lang w:val="en-US" w:eastAsia="zh-CN"/>
        </w:rPr>
        <w:t>2：</w:t>
      </w:r>
      <w:r>
        <w:rPr>
          <w:rFonts w:hint="eastAsia"/>
          <w:b/>
          <w:sz w:val="28"/>
          <w:szCs w:val="28"/>
        </w:rPr>
        <w:t xml:space="preserve"> 评审</w:t>
      </w:r>
      <w:r>
        <w:rPr>
          <w:b/>
          <w:sz w:val="28"/>
          <w:szCs w:val="28"/>
        </w:rPr>
        <w:t>办法</w:t>
      </w:r>
    </w:p>
    <w:bookmarkEnd w:id="2"/>
    <w:p w14:paraId="3AFAA872"/>
    <w:p w14:paraId="3EE4A230">
      <w:r>
        <w:rPr>
          <w:rFonts w:hint="eastAsia"/>
          <w:lang w:eastAsia="zh-CN"/>
        </w:rPr>
        <w:t>包二、包三</w:t>
      </w:r>
      <w:r>
        <w:t>：</w:t>
      </w:r>
      <w:r>
        <w:rPr>
          <w:rFonts w:hint="eastAsia"/>
        </w:rPr>
        <w:t xml:space="preserve"> 最低</w:t>
      </w:r>
      <w:r>
        <w:t>评标价法</w:t>
      </w:r>
      <w:r>
        <w:rPr>
          <w:rFonts w:hint="eastAsia"/>
        </w:rPr>
        <w:t>：</w:t>
      </w:r>
      <w:r>
        <w:t>满足采购</w:t>
      </w:r>
      <w:r>
        <w:rPr>
          <w:rFonts w:hint="eastAsia"/>
        </w:rPr>
        <w:t>需求</w:t>
      </w:r>
      <w:r>
        <w:t>的前提下，</w:t>
      </w:r>
      <w:r>
        <w:rPr>
          <w:rFonts w:hint="eastAsia"/>
        </w:rPr>
        <w:t>报价</w:t>
      </w:r>
      <w:r>
        <w:t>最低的有效供应商</w:t>
      </w:r>
      <w:r>
        <w:rPr>
          <w:rFonts w:hint="eastAsia"/>
        </w:rPr>
        <w:t>为</w:t>
      </w:r>
      <w:r>
        <w:t>第一成交候选人。</w:t>
      </w:r>
    </w:p>
    <w:p w14:paraId="6F0956A8">
      <w:pPr>
        <w:rPr>
          <w:rFonts w:hint="eastAsia"/>
        </w:rPr>
      </w:pPr>
    </w:p>
    <w:p w14:paraId="6ACFA244">
      <w:pPr>
        <w:rPr>
          <w:rFonts w:hint="eastAsia"/>
        </w:rPr>
      </w:pPr>
      <w:r>
        <w:rPr>
          <w:rFonts w:hint="eastAsia"/>
          <w:lang w:eastAsia="zh-CN"/>
        </w:rPr>
        <w:t>包一</w:t>
      </w:r>
      <w:r>
        <w:t>：综合评标法</w:t>
      </w:r>
    </w:p>
    <w:tbl>
      <w:tblPr>
        <w:tblStyle w:val="9"/>
        <w:tblW w:w="9876" w:type="dxa"/>
        <w:jc w:val="center"/>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615"/>
        <w:gridCol w:w="1282"/>
        <w:gridCol w:w="1367"/>
        <w:gridCol w:w="6612"/>
      </w:tblGrid>
      <w:tr w14:paraId="36012A42">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52" w:hRule="atLeast"/>
          <w:jc w:val="center"/>
        </w:trPr>
        <w:tc>
          <w:tcPr>
            <w:tcW w:w="615" w:type="dxa"/>
            <w:tcBorders>
              <w:right w:val="single" w:color="auto" w:sz="4" w:space="0"/>
            </w:tcBorders>
            <w:vAlign w:val="center"/>
          </w:tcPr>
          <w:p w14:paraId="6CE8ABFE">
            <w:pPr>
              <w:adjustRightInd w:val="0"/>
              <w:snapToGrid w:val="0"/>
              <w:jc w:val="center"/>
              <w:rPr>
                <w:rFonts w:ascii="宋体" w:hAnsi="宋体"/>
                <w:b/>
                <w:color w:val="000000"/>
                <w:szCs w:val="21"/>
              </w:rPr>
            </w:pPr>
            <w:r>
              <w:rPr>
                <w:rFonts w:hint="eastAsia" w:ascii="宋体" w:hAnsi="宋体"/>
                <w:b/>
                <w:color w:val="000000"/>
                <w:szCs w:val="21"/>
              </w:rPr>
              <w:t>序号</w:t>
            </w:r>
          </w:p>
        </w:tc>
        <w:tc>
          <w:tcPr>
            <w:tcW w:w="1282" w:type="dxa"/>
            <w:tcBorders>
              <w:left w:val="single" w:color="auto" w:sz="4" w:space="0"/>
              <w:right w:val="single" w:color="auto" w:sz="4" w:space="0"/>
            </w:tcBorders>
            <w:vAlign w:val="center"/>
          </w:tcPr>
          <w:p w14:paraId="45BB7BA0">
            <w:pPr>
              <w:adjustRightInd w:val="0"/>
              <w:snapToGrid w:val="0"/>
              <w:jc w:val="center"/>
              <w:rPr>
                <w:rFonts w:ascii="宋体" w:hAnsi="宋体"/>
                <w:b/>
                <w:color w:val="000000"/>
                <w:szCs w:val="21"/>
              </w:rPr>
            </w:pPr>
            <w:r>
              <w:rPr>
                <w:rFonts w:hint="eastAsia" w:ascii="宋体" w:hAnsi="宋体"/>
                <w:b/>
                <w:color w:val="000000"/>
                <w:szCs w:val="21"/>
              </w:rPr>
              <w:t>评标因素（分值）</w:t>
            </w:r>
          </w:p>
        </w:tc>
        <w:tc>
          <w:tcPr>
            <w:tcW w:w="1367" w:type="dxa"/>
            <w:tcBorders>
              <w:left w:val="single" w:color="auto" w:sz="4" w:space="0"/>
              <w:right w:val="single" w:color="auto" w:sz="4" w:space="0"/>
            </w:tcBorders>
            <w:vAlign w:val="center"/>
          </w:tcPr>
          <w:p w14:paraId="2B58157D">
            <w:pPr>
              <w:adjustRightInd w:val="0"/>
              <w:snapToGrid w:val="0"/>
              <w:jc w:val="center"/>
              <w:rPr>
                <w:rFonts w:hint="eastAsia" w:ascii="宋体" w:hAnsi="宋体"/>
                <w:b/>
                <w:color w:val="000000"/>
                <w:szCs w:val="21"/>
              </w:rPr>
            </w:pPr>
            <w:r>
              <w:rPr>
                <w:rFonts w:hint="eastAsia" w:ascii="宋体" w:hAnsi="宋体"/>
                <w:b/>
                <w:color w:val="000000"/>
                <w:szCs w:val="21"/>
              </w:rPr>
              <w:t>分值</w:t>
            </w:r>
          </w:p>
        </w:tc>
        <w:tc>
          <w:tcPr>
            <w:tcW w:w="6612" w:type="dxa"/>
            <w:tcBorders>
              <w:left w:val="single" w:color="auto" w:sz="4" w:space="0"/>
            </w:tcBorders>
            <w:vAlign w:val="center"/>
          </w:tcPr>
          <w:p w14:paraId="5482D736">
            <w:pPr>
              <w:adjustRightInd w:val="0"/>
              <w:snapToGrid w:val="0"/>
              <w:jc w:val="center"/>
              <w:rPr>
                <w:rFonts w:ascii="宋体" w:hAnsi="宋体"/>
                <w:b/>
                <w:color w:val="000000"/>
                <w:szCs w:val="21"/>
              </w:rPr>
            </w:pPr>
            <w:r>
              <w:rPr>
                <w:rFonts w:hint="eastAsia" w:ascii="宋体" w:hAnsi="宋体"/>
                <w:b/>
                <w:color w:val="000000"/>
                <w:szCs w:val="21"/>
              </w:rPr>
              <w:t>评标标准</w:t>
            </w:r>
          </w:p>
        </w:tc>
      </w:tr>
      <w:tr w14:paraId="0849C4F4">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14" w:hRule="atLeast"/>
          <w:jc w:val="center"/>
        </w:trPr>
        <w:tc>
          <w:tcPr>
            <w:tcW w:w="615" w:type="dxa"/>
            <w:tcBorders>
              <w:right w:val="single" w:color="auto" w:sz="4" w:space="0"/>
            </w:tcBorders>
            <w:vAlign w:val="center"/>
          </w:tcPr>
          <w:p w14:paraId="2F58DDDB">
            <w:pPr>
              <w:adjustRightInd w:val="0"/>
              <w:snapToGrid w:val="0"/>
              <w:spacing w:before="156" w:beforeLines="50"/>
              <w:jc w:val="center"/>
              <w:rPr>
                <w:rFonts w:ascii="宋体" w:hAnsi="宋体"/>
                <w:color w:val="000000"/>
                <w:szCs w:val="21"/>
              </w:rPr>
            </w:pPr>
            <w:r>
              <w:rPr>
                <w:rFonts w:hint="eastAsia" w:ascii="宋体" w:hAnsi="宋体"/>
                <w:color w:val="000000"/>
                <w:szCs w:val="21"/>
              </w:rPr>
              <w:t>1</w:t>
            </w:r>
          </w:p>
        </w:tc>
        <w:tc>
          <w:tcPr>
            <w:tcW w:w="1282" w:type="dxa"/>
            <w:tcBorders>
              <w:left w:val="single" w:color="auto" w:sz="4" w:space="0"/>
              <w:right w:val="single" w:color="auto" w:sz="4" w:space="0"/>
            </w:tcBorders>
            <w:vAlign w:val="center"/>
          </w:tcPr>
          <w:p w14:paraId="4550796E">
            <w:pPr>
              <w:adjustRightInd w:val="0"/>
              <w:snapToGrid w:val="0"/>
              <w:jc w:val="center"/>
              <w:rPr>
                <w:rFonts w:ascii="宋体" w:hAnsi="宋体"/>
                <w:color w:val="000000"/>
                <w:szCs w:val="21"/>
              </w:rPr>
            </w:pPr>
            <w:r>
              <w:rPr>
                <w:rFonts w:hint="eastAsia" w:ascii="宋体" w:hAnsi="宋体"/>
                <w:color w:val="000000"/>
                <w:szCs w:val="21"/>
              </w:rPr>
              <w:t>价格部分</w:t>
            </w:r>
          </w:p>
        </w:tc>
        <w:tc>
          <w:tcPr>
            <w:tcW w:w="1367" w:type="dxa"/>
            <w:tcBorders>
              <w:left w:val="single" w:color="auto" w:sz="4" w:space="0"/>
              <w:right w:val="single" w:color="auto" w:sz="4" w:space="0"/>
            </w:tcBorders>
            <w:vAlign w:val="center"/>
          </w:tcPr>
          <w:p w14:paraId="55F8F453">
            <w:pPr>
              <w:widowControl/>
              <w:spacing w:before="100" w:beforeAutospacing="1" w:after="100" w:afterAutospacing="1"/>
              <w:jc w:val="center"/>
              <w:rPr>
                <w:rFonts w:ascii="宋体" w:hAnsi="宋体"/>
                <w:color w:val="000000"/>
                <w:szCs w:val="21"/>
              </w:rPr>
            </w:pPr>
            <w:r>
              <w:rPr>
                <w:rFonts w:ascii="宋体" w:hAnsi="宋体"/>
                <w:color w:val="000000"/>
                <w:szCs w:val="21"/>
              </w:rPr>
              <w:t>4</w:t>
            </w:r>
            <w:r>
              <w:rPr>
                <w:rFonts w:hint="eastAsia" w:ascii="宋体" w:hAnsi="宋体"/>
                <w:color w:val="000000"/>
                <w:szCs w:val="21"/>
              </w:rPr>
              <w:t>0分</w:t>
            </w:r>
          </w:p>
        </w:tc>
        <w:tc>
          <w:tcPr>
            <w:tcW w:w="6612" w:type="dxa"/>
            <w:tcBorders>
              <w:left w:val="single" w:color="auto" w:sz="4" w:space="0"/>
            </w:tcBorders>
            <w:vAlign w:val="center"/>
          </w:tcPr>
          <w:p w14:paraId="28243844">
            <w:pPr>
              <w:widowControl/>
              <w:spacing w:before="100" w:beforeAutospacing="1" w:after="100" w:afterAutospacing="1"/>
              <w:jc w:val="left"/>
              <w:rPr>
                <w:rFonts w:ascii="宋体" w:hAnsi="宋体"/>
                <w:color w:val="000000"/>
                <w:szCs w:val="21"/>
              </w:rPr>
            </w:pPr>
            <w:r>
              <w:rPr>
                <w:rFonts w:ascii="宋体" w:hAnsi="宋体"/>
                <w:color w:val="000000"/>
                <w:szCs w:val="21"/>
              </w:rPr>
              <w:t>满足招标文件要求且投标价格最低的投标报价为评标基准价，其价格分为</w:t>
            </w:r>
            <w:r>
              <w:rPr>
                <w:rFonts w:hint="eastAsia" w:ascii="宋体" w:hAnsi="宋体"/>
                <w:color w:val="000000"/>
                <w:szCs w:val="21"/>
                <w:lang w:eastAsia="zh-CN"/>
              </w:rPr>
              <w:t>满</w:t>
            </w:r>
            <w:r>
              <w:rPr>
                <w:rFonts w:ascii="宋体" w:hAnsi="宋体"/>
                <w:color w:val="000000"/>
                <w:szCs w:val="21"/>
              </w:rPr>
              <w:t>分。其他投标人的价格分统一按照下列公式计算：</w:t>
            </w:r>
            <w:r>
              <w:rPr>
                <w:rFonts w:hint="eastAsia" w:ascii="宋体" w:hAnsi="宋体"/>
                <w:color w:val="000000"/>
                <w:szCs w:val="21"/>
              </w:rPr>
              <w:t>报价得分＝评标基准价÷投标报价×</w:t>
            </w:r>
            <w:r>
              <w:rPr>
                <w:rFonts w:hint="eastAsia" w:ascii="宋体" w:hAnsi="宋体"/>
                <w:color w:val="000000"/>
                <w:szCs w:val="21"/>
                <w:lang w:val="en-US" w:eastAsia="zh-CN"/>
              </w:rPr>
              <w:t>4</w:t>
            </w:r>
            <w:r>
              <w:rPr>
                <w:rFonts w:ascii="宋体" w:hAnsi="宋体"/>
                <w:color w:val="000000"/>
                <w:szCs w:val="21"/>
              </w:rPr>
              <w:t>0</w:t>
            </w:r>
          </w:p>
        </w:tc>
      </w:tr>
      <w:tr w14:paraId="22BD8FE1">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5" w:hRule="atLeast"/>
          <w:jc w:val="center"/>
        </w:trPr>
        <w:tc>
          <w:tcPr>
            <w:tcW w:w="615" w:type="dxa"/>
            <w:tcBorders>
              <w:right w:val="single" w:color="auto" w:sz="4" w:space="0"/>
            </w:tcBorders>
            <w:vAlign w:val="center"/>
          </w:tcPr>
          <w:p w14:paraId="37BD4225">
            <w:pPr>
              <w:adjustRightInd w:val="0"/>
              <w:snapToGrid w:val="0"/>
              <w:spacing w:before="156" w:beforeLines="50"/>
              <w:jc w:val="center"/>
              <w:rPr>
                <w:rFonts w:ascii="宋体" w:hAnsi="宋体"/>
                <w:color w:val="000000"/>
                <w:szCs w:val="21"/>
              </w:rPr>
            </w:pPr>
            <w:r>
              <w:rPr>
                <w:rFonts w:hint="eastAsia" w:ascii="宋体" w:hAnsi="宋体"/>
                <w:color w:val="000000"/>
                <w:szCs w:val="21"/>
              </w:rPr>
              <w:t>2</w:t>
            </w:r>
          </w:p>
        </w:tc>
        <w:tc>
          <w:tcPr>
            <w:tcW w:w="1282" w:type="dxa"/>
            <w:tcBorders>
              <w:left w:val="single" w:color="auto" w:sz="4" w:space="0"/>
            </w:tcBorders>
            <w:vAlign w:val="center"/>
          </w:tcPr>
          <w:p w14:paraId="70E1075B">
            <w:pPr>
              <w:adjustRightInd w:val="0"/>
              <w:snapToGrid w:val="0"/>
              <w:jc w:val="center"/>
              <w:rPr>
                <w:rFonts w:hint="eastAsia" w:ascii="宋体" w:hAnsi="宋体"/>
                <w:color w:val="000000"/>
                <w:szCs w:val="21"/>
              </w:rPr>
            </w:pPr>
            <w:r>
              <w:rPr>
                <w:rFonts w:hint="eastAsia" w:ascii="宋体" w:hAnsi="宋体"/>
                <w:color w:val="000000"/>
                <w:szCs w:val="21"/>
              </w:rPr>
              <w:t>技术部分</w:t>
            </w:r>
          </w:p>
        </w:tc>
        <w:tc>
          <w:tcPr>
            <w:tcW w:w="1367" w:type="dxa"/>
            <w:vAlign w:val="center"/>
          </w:tcPr>
          <w:p w14:paraId="3C08D2DF">
            <w:pPr>
              <w:adjustRightInd w:val="0"/>
              <w:snapToGrid w:val="0"/>
              <w:spacing w:before="156" w:beforeLines="50"/>
              <w:jc w:val="center"/>
              <w:rPr>
                <w:rFonts w:hint="eastAsia" w:ascii="宋体" w:hAnsi="宋体"/>
                <w:color w:val="000000"/>
                <w:szCs w:val="21"/>
              </w:rPr>
            </w:pPr>
            <w:r>
              <w:rPr>
                <w:rFonts w:ascii="宋体" w:hAnsi="宋体"/>
                <w:color w:val="000000"/>
                <w:szCs w:val="21"/>
              </w:rPr>
              <w:t>5</w:t>
            </w:r>
            <w:r>
              <w:rPr>
                <w:rFonts w:hint="eastAsia" w:ascii="宋体" w:hAnsi="宋体"/>
                <w:color w:val="000000"/>
                <w:szCs w:val="21"/>
              </w:rPr>
              <w:t>0分</w:t>
            </w:r>
          </w:p>
        </w:tc>
        <w:tc>
          <w:tcPr>
            <w:tcW w:w="6612" w:type="dxa"/>
            <w:vAlign w:val="center"/>
          </w:tcPr>
          <w:p w14:paraId="1547EA2B">
            <w:pPr>
              <w:rPr>
                <w:rFonts w:ascii="宋体" w:hAnsi="宋体"/>
                <w:color w:val="000000"/>
                <w:szCs w:val="21"/>
              </w:rPr>
            </w:pPr>
            <w:r>
              <w:rPr>
                <w:rFonts w:ascii="宋体" w:hAnsi="宋体"/>
                <w:color w:val="000000"/>
                <w:szCs w:val="21"/>
              </w:rPr>
              <w:t>1</w:t>
            </w:r>
            <w:r>
              <w:rPr>
                <w:rFonts w:hint="eastAsia" w:ascii="宋体" w:hAnsi="宋体"/>
                <w:color w:val="000000"/>
                <w:szCs w:val="21"/>
              </w:rPr>
              <w:t>、</w:t>
            </w:r>
            <w:r>
              <w:rPr>
                <w:rFonts w:hint="eastAsia" w:ascii="宋体" w:hAnsi="宋体" w:cs="宋体"/>
                <w:color w:val="000000"/>
                <w:szCs w:val="21"/>
                <w:lang w:val="zh-TW"/>
              </w:rPr>
              <w:t>所投设备其它技术指标和配置完全</w:t>
            </w:r>
            <w:r>
              <w:rPr>
                <w:rFonts w:hint="eastAsia" w:ascii="宋体" w:hAnsi="宋体"/>
                <w:color w:val="000000"/>
                <w:szCs w:val="21"/>
              </w:rPr>
              <w:t>招标文件要求的，计满分。</w:t>
            </w:r>
          </w:p>
          <w:p w14:paraId="638E5E15">
            <w:pPr>
              <w:pStyle w:val="11"/>
              <w:ind w:firstLine="0" w:firstLineChars="0"/>
              <w:rPr>
                <w:rFonts w:ascii="宋体" w:hAnsi="宋体"/>
              </w:rPr>
            </w:pPr>
            <w:r>
              <w:rPr>
                <w:rFonts w:ascii="宋体" w:hAnsi="宋体"/>
              </w:rPr>
              <w:t>2</w:t>
            </w:r>
            <w:r>
              <w:rPr>
                <w:rFonts w:hint="eastAsia" w:ascii="宋体" w:hAnsi="宋体"/>
              </w:rPr>
              <w:t>、标注“▲”号</w:t>
            </w:r>
            <w:r>
              <w:rPr>
                <w:rFonts w:ascii="宋体" w:hAnsi="宋体"/>
              </w:rPr>
              <w:t>技术条款</w:t>
            </w:r>
            <w:r>
              <w:rPr>
                <w:rFonts w:ascii="宋体" w:hAnsi="宋体" w:cs="宋体"/>
                <w:color w:val="000000"/>
              </w:rPr>
              <w:t>每负偏离一</w:t>
            </w:r>
            <w:r>
              <w:rPr>
                <w:rFonts w:hint="eastAsia" w:ascii="宋体" w:hAnsi="宋体" w:cs="宋体"/>
                <w:color w:val="000000"/>
              </w:rPr>
              <w:t>项</w:t>
            </w:r>
            <w:r>
              <w:rPr>
                <w:rFonts w:ascii="宋体" w:hAnsi="宋体" w:cs="宋体"/>
                <w:color w:val="000000"/>
              </w:rPr>
              <w:t>扣__4_分</w:t>
            </w:r>
            <w:r>
              <w:rPr>
                <w:rFonts w:hint="eastAsia" w:ascii="宋体" w:hAnsi="宋体" w:cs="宋体"/>
                <w:color w:val="000000"/>
              </w:rPr>
              <w:t>。</w:t>
            </w:r>
          </w:p>
          <w:p w14:paraId="7904DAC7">
            <w:pPr>
              <w:rPr>
                <w:rFonts w:ascii="宋体" w:hAnsi="宋体"/>
                <w:color w:val="000000"/>
                <w:szCs w:val="21"/>
              </w:rPr>
            </w:pPr>
            <w:r>
              <w:rPr>
                <w:rFonts w:ascii="宋体" w:hAnsi="宋体"/>
                <w:color w:val="000000"/>
                <w:szCs w:val="21"/>
              </w:rPr>
              <w:t>3</w:t>
            </w:r>
            <w:r>
              <w:rPr>
                <w:rFonts w:hint="eastAsia" w:ascii="宋体" w:hAnsi="宋体"/>
                <w:color w:val="000000"/>
                <w:szCs w:val="21"/>
              </w:rPr>
              <w:t>、</w:t>
            </w:r>
            <w:r>
              <w:rPr>
                <w:rFonts w:hint="eastAsia" w:ascii="宋体" w:hAnsi="宋体" w:cs="宋体"/>
                <w:color w:val="000000"/>
                <w:szCs w:val="21"/>
                <w:lang w:val="zh-TW"/>
              </w:rPr>
              <w:t>其它</w:t>
            </w:r>
            <w:r>
              <w:rPr>
                <w:rFonts w:hint="eastAsia" w:ascii="宋体" w:hAnsi="宋体"/>
                <w:color w:val="000000"/>
                <w:szCs w:val="21"/>
              </w:rPr>
              <w:t>技术参数</w:t>
            </w:r>
            <w:r>
              <w:rPr>
                <w:rFonts w:ascii="宋体" w:hAnsi="宋体"/>
                <w:color w:val="000000"/>
                <w:szCs w:val="21"/>
              </w:rPr>
              <w:t>条款</w:t>
            </w:r>
            <w:r>
              <w:rPr>
                <w:rFonts w:ascii="宋体" w:hAnsi="宋体" w:cs="宋体"/>
                <w:color w:val="000000"/>
              </w:rPr>
              <w:t>每负偏离一</w:t>
            </w:r>
            <w:r>
              <w:rPr>
                <w:rFonts w:hint="eastAsia" w:ascii="宋体" w:hAnsi="宋体" w:cs="宋体"/>
                <w:color w:val="000000"/>
              </w:rPr>
              <w:t>项</w:t>
            </w:r>
            <w:r>
              <w:rPr>
                <w:rFonts w:ascii="宋体" w:hAnsi="宋体" w:cs="宋体"/>
                <w:color w:val="000000"/>
              </w:rPr>
              <w:t>扣__2__分，</w:t>
            </w:r>
            <w:r>
              <w:rPr>
                <w:rFonts w:hint="eastAsia" w:ascii="宋体" w:hAnsi="宋体" w:cs="宋体"/>
                <w:color w:val="000000"/>
              </w:rPr>
              <w:t>扣完为</w:t>
            </w:r>
            <w:r>
              <w:rPr>
                <w:rFonts w:ascii="宋体" w:hAnsi="宋体" w:cs="宋体"/>
                <w:color w:val="000000"/>
              </w:rPr>
              <w:t>止</w:t>
            </w:r>
            <w:r>
              <w:rPr>
                <w:rFonts w:ascii="宋体" w:hAnsi="宋体"/>
                <w:color w:val="000000"/>
                <w:szCs w:val="21"/>
              </w:rPr>
              <w:t>。</w:t>
            </w:r>
          </w:p>
          <w:p w14:paraId="0ED0E02C">
            <w:pPr>
              <w:widowControl/>
              <w:jc w:val="left"/>
              <w:textAlignment w:val="center"/>
              <w:rPr>
                <w:rFonts w:hint="eastAsia" w:ascii="宋体" w:hAnsi="宋体" w:cs="宋体"/>
                <w:color w:val="000000"/>
              </w:rPr>
            </w:pPr>
            <w:r>
              <w:rPr>
                <w:rFonts w:hint="eastAsia" w:ascii="宋体" w:hAnsi="宋体"/>
                <w:color w:val="000000"/>
                <w:szCs w:val="21"/>
              </w:rPr>
              <w:t>4、标注 “</w:t>
            </w:r>
            <w:r>
              <w:rPr>
                <w:rFonts w:ascii="宋体" w:hAnsi="宋体" w:cs="宋体"/>
                <w:color w:val="000000"/>
              </w:rPr>
              <w:t>★</w:t>
            </w:r>
            <w:r>
              <w:rPr>
                <w:rFonts w:hint="eastAsia" w:ascii="宋体" w:hAnsi="宋体"/>
                <w:color w:val="000000"/>
                <w:szCs w:val="21"/>
              </w:rPr>
              <w:t>”号条款</w:t>
            </w:r>
            <w:r>
              <w:rPr>
                <w:rFonts w:hint="eastAsia" w:ascii="新宋体" w:hAnsi="新宋体" w:eastAsia="新宋体"/>
                <w:color w:val="000000"/>
                <w:spacing w:val="-2"/>
                <w:szCs w:val="21"/>
              </w:rPr>
              <w:t>为实质性响应条款项，</w:t>
            </w:r>
            <w:r>
              <w:rPr>
                <w:rFonts w:ascii="宋体" w:hAnsi="宋体" w:cs="宋体"/>
                <w:color w:val="000000"/>
              </w:rPr>
              <w:t>任何一项</w:t>
            </w:r>
            <w:r>
              <w:rPr>
                <w:rFonts w:hint="eastAsia" w:ascii="宋体" w:hAnsi="宋体" w:cs="宋体"/>
                <w:color w:val="000000"/>
              </w:rPr>
              <w:t>标注</w:t>
            </w:r>
            <w:r>
              <w:rPr>
                <w:rFonts w:ascii="宋体" w:hAnsi="宋体" w:cs="宋体"/>
                <w:color w:val="000000"/>
              </w:rPr>
              <w:t>“★”号条款不满足</w:t>
            </w:r>
            <w:r>
              <w:rPr>
                <w:rFonts w:hint="eastAsia" w:ascii="宋体" w:hAnsi="宋体" w:cs="宋体"/>
                <w:color w:val="000000"/>
              </w:rPr>
              <w:t>均</w:t>
            </w:r>
            <w:r>
              <w:rPr>
                <w:rFonts w:ascii="宋体" w:hAnsi="宋体" w:cs="宋体"/>
                <w:color w:val="000000"/>
              </w:rPr>
              <w:t>属无效投标</w:t>
            </w:r>
            <w:r>
              <w:rPr>
                <w:rFonts w:hint="eastAsia" w:ascii="宋体" w:hAnsi="宋体" w:cs="宋体"/>
                <w:color w:val="000000"/>
              </w:rPr>
              <w:t>。</w:t>
            </w:r>
          </w:p>
          <w:p w14:paraId="4B80D54C">
            <w:pPr>
              <w:widowControl/>
              <w:jc w:val="left"/>
              <w:textAlignment w:val="center"/>
              <w:rPr>
                <w:rFonts w:hint="default" w:ascii="宋体" w:hAnsi="宋体" w:cs="宋体" w:eastAsiaTheme="minorEastAsia"/>
                <w:color w:val="000000"/>
                <w:lang w:val="en-US" w:eastAsia="zh-CN"/>
              </w:rPr>
            </w:pPr>
            <w:r>
              <w:rPr>
                <w:rFonts w:hint="eastAsia" w:ascii="宋体" w:hAnsi="宋体" w:cs="宋体"/>
                <w:color w:val="000000"/>
                <w:lang w:val="en-US" w:eastAsia="zh-CN"/>
              </w:rPr>
              <w:t>5、单个产品偏离参数不得超过5条。</w:t>
            </w:r>
          </w:p>
        </w:tc>
      </w:tr>
      <w:tr w14:paraId="7355A481">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5" w:hRule="atLeast"/>
          <w:jc w:val="center"/>
        </w:trPr>
        <w:tc>
          <w:tcPr>
            <w:tcW w:w="615" w:type="dxa"/>
            <w:vMerge w:val="restart"/>
            <w:tcBorders>
              <w:right w:val="single" w:color="auto" w:sz="4" w:space="0"/>
            </w:tcBorders>
            <w:vAlign w:val="center"/>
          </w:tcPr>
          <w:p w14:paraId="7D6EAB91">
            <w:pPr>
              <w:adjustRightInd w:val="0"/>
              <w:snapToGrid w:val="0"/>
              <w:spacing w:before="156" w:beforeLines="50"/>
              <w:jc w:val="center"/>
              <w:rPr>
                <w:rFonts w:hint="eastAsia" w:ascii="宋体" w:hAnsi="宋体"/>
                <w:color w:val="000000"/>
                <w:szCs w:val="21"/>
              </w:rPr>
            </w:pPr>
            <w:r>
              <w:rPr>
                <w:rFonts w:hint="eastAsia" w:ascii="宋体" w:hAnsi="宋体"/>
                <w:color w:val="000000"/>
                <w:szCs w:val="21"/>
              </w:rPr>
              <w:t>3</w:t>
            </w:r>
          </w:p>
        </w:tc>
        <w:tc>
          <w:tcPr>
            <w:tcW w:w="1282" w:type="dxa"/>
            <w:vMerge w:val="restart"/>
            <w:tcBorders>
              <w:left w:val="single" w:color="auto" w:sz="4" w:space="0"/>
            </w:tcBorders>
            <w:vAlign w:val="center"/>
          </w:tcPr>
          <w:p w14:paraId="1BD87DBF">
            <w:pPr>
              <w:adjustRightInd w:val="0"/>
              <w:snapToGrid w:val="0"/>
              <w:jc w:val="center"/>
              <w:rPr>
                <w:rFonts w:hint="eastAsia" w:ascii="宋体" w:hAnsi="宋体"/>
                <w:color w:val="000000"/>
                <w:szCs w:val="21"/>
              </w:rPr>
            </w:pPr>
            <w:r>
              <w:rPr>
                <w:rFonts w:hint="eastAsia" w:ascii="宋体" w:hAnsi="宋体"/>
                <w:color w:val="000000"/>
                <w:szCs w:val="21"/>
              </w:rPr>
              <w:t>商务</w:t>
            </w:r>
            <w:r>
              <w:rPr>
                <w:rFonts w:ascii="宋体" w:hAnsi="宋体"/>
                <w:color w:val="000000"/>
                <w:szCs w:val="21"/>
              </w:rPr>
              <w:t>部分</w:t>
            </w:r>
          </w:p>
        </w:tc>
        <w:tc>
          <w:tcPr>
            <w:tcW w:w="1367" w:type="dxa"/>
            <w:vAlign w:val="center"/>
          </w:tcPr>
          <w:p w14:paraId="05125B9E">
            <w:pPr>
              <w:spacing w:line="320" w:lineRule="exact"/>
              <w:jc w:val="center"/>
              <w:rPr>
                <w:rFonts w:ascii="宋体" w:hAnsi="宋体"/>
                <w:color w:val="000000"/>
                <w:szCs w:val="21"/>
              </w:rPr>
            </w:pPr>
            <w:r>
              <w:rPr>
                <w:rFonts w:hint="eastAsia" w:ascii="宋体" w:hAnsi="宋体"/>
                <w:color w:val="000000"/>
                <w:szCs w:val="21"/>
              </w:rPr>
              <w:t>类似业绩</w:t>
            </w:r>
          </w:p>
          <w:p w14:paraId="4E7DAE24">
            <w:pPr>
              <w:pStyle w:val="11"/>
              <w:spacing w:line="320" w:lineRule="exact"/>
              <w:ind w:firstLineChars="0"/>
              <w:rPr>
                <w:rFonts w:hint="eastAsia" w:ascii="宋体" w:hAnsi="宋体"/>
                <w:color w:val="000000"/>
              </w:rPr>
            </w:pPr>
            <w:r>
              <w:rPr>
                <w:rFonts w:hint="eastAsia" w:ascii="宋体" w:hAnsi="宋体"/>
                <w:color w:val="000000"/>
                <w:lang w:val="en-US" w:eastAsia="zh-CN"/>
              </w:rPr>
              <w:t>5</w:t>
            </w:r>
            <w:r>
              <w:rPr>
                <w:rFonts w:hint="eastAsia" w:ascii="宋体" w:hAnsi="宋体"/>
                <w:color w:val="000000"/>
              </w:rPr>
              <w:t>分</w:t>
            </w:r>
          </w:p>
        </w:tc>
        <w:tc>
          <w:tcPr>
            <w:tcW w:w="6612" w:type="dxa"/>
            <w:vAlign w:val="center"/>
          </w:tcPr>
          <w:p w14:paraId="3EA8A6AD">
            <w:pPr>
              <w:spacing w:line="360" w:lineRule="exact"/>
              <w:ind w:right="-36" w:rightChars="-17"/>
              <w:jc w:val="left"/>
              <w:rPr>
                <w:rFonts w:hint="eastAsia" w:ascii="宋体" w:hAnsi="宋体" w:cs="宋体"/>
                <w:color w:val="000000"/>
              </w:rPr>
            </w:pPr>
            <w:r>
              <w:rPr>
                <w:rFonts w:hint="eastAsia" w:ascii="宋体" w:hAnsi="宋体" w:cs="宋体"/>
                <w:color w:val="000000"/>
              </w:rPr>
              <w:t>投标人提供自2022年1月1日起至今所投产品同类产品业绩的，每提供 1份业绩计</w:t>
            </w:r>
            <w:r>
              <w:rPr>
                <w:rFonts w:hint="eastAsia" w:ascii="宋体" w:hAnsi="宋体" w:cs="宋体"/>
                <w:color w:val="000000"/>
                <w:lang w:val="en-US" w:eastAsia="zh-CN"/>
              </w:rPr>
              <w:t>2.5</w:t>
            </w:r>
            <w:r>
              <w:rPr>
                <w:rFonts w:hint="eastAsia" w:ascii="宋体" w:hAnsi="宋体" w:cs="宋体"/>
                <w:color w:val="000000"/>
              </w:rPr>
              <w:t>分，最高可得</w:t>
            </w:r>
            <w:r>
              <w:rPr>
                <w:rFonts w:hint="eastAsia" w:ascii="宋体" w:hAnsi="宋体" w:cs="宋体"/>
                <w:color w:val="000000"/>
                <w:lang w:val="en-US" w:eastAsia="zh-CN"/>
              </w:rPr>
              <w:t>5</w:t>
            </w:r>
            <w:r>
              <w:rPr>
                <w:rFonts w:hint="eastAsia" w:ascii="宋体" w:hAnsi="宋体" w:cs="宋体"/>
                <w:color w:val="000000"/>
              </w:rPr>
              <w:t>分，没提供的不得分。</w:t>
            </w:r>
          </w:p>
          <w:p w14:paraId="41F24096">
            <w:pPr>
              <w:spacing w:line="360" w:lineRule="exact"/>
              <w:jc w:val="left"/>
              <w:rPr>
                <w:rFonts w:hint="eastAsia" w:ascii="宋体" w:hAnsi="宋体" w:cs="宋体"/>
                <w:color w:val="000000"/>
              </w:rPr>
            </w:pPr>
            <w:r>
              <w:rPr>
                <w:rFonts w:hint="eastAsia" w:ascii="宋体" w:hAnsi="宋体" w:cs="宋体"/>
                <w:color w:val="000000"/>
              </w:rPr>
              <w:t>注：（1）投标文件中须附“合同复印件”  或者</w:t>
            </w:r>
          </w:p>
          <w:p w14:paraId="11BEC023">
            <w:pPr>
              <w:spacing w:line="360" w:lineRule="exact"/>
              <w:jc w:val="left"/>
              <w:rPr>
                <w:rFonts w:hint="eastAsia" w:ascii="宋体" w:hAnsi="宋体" w:cs="宋体"/>
                <w:color w:val="000000"/>
              </w:rPr>
            </w:pPr>
            <w:r>
              <w:rPr>
                <w:rFonts w:hint="eastAsia" w:ascii="宋体" w:hAnsi="宋体" w:cs="宋体"/>
                <w:color w:val="000000"/>
              </w:rPr>
              <w:t>“提供中标（成交）通知书原件的扫描件且须加上中标（成交）结果公告网页截图，二者不可缺漏”，否则不得分。</w:t>
            </w:r>
          </w:p>
          <w:p w14:paraId="3A16FC50">
            <w:pPr>
              <w:spacing w:line="360" w:lineRule="exact"/>
              <w:jc w:val="left"/>
              <w:rPr>
                <w:rFonts w:hint="eastAsia" w:ascii="宋体" w:hAnsi="宋体" w:cs="宋体"/>
                <w:color w:val="000000"/>
              </w:rPr>
            </w:pPr>
            <w:r>
              <w:rPr>
                <w:rFonts w:hint="eastAsia" w:ascii="宋体" w:hAnsi="宋体" w:cs="宋体"/>
                <w:color w:val="000000"/>
              </w:rPr>
              <w:t>（2）这里业绩所指为同产品业绩，既可为投标人做的业绩、也可为生产厂家或其它代理商做的同类业绩。</w:t>
            </w:r>
          </w:p>
        </w:tc>
      </w:tr>
      <w:tr w14:paraId="63C70750">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5" w:hRule="atLeast"/>
          <w:jc w:val="center"/>
        </w:trPr>
        <w:tc>
          <w:tcPr>
            <w:tcW w:w="615" w:type="dxa"/>
            <w:vMerge w:val="continue"/>
            <w:tcBorders>
              <w:right w:val="single" w:color="auto" w:sz="4" w:space="0"/>
            </w:tcBorders>
            <w:vAlign w:val="center"/>
          </w:tcPr>
          <w:p w14:paraId="70F867A5">
            <w:pPr>
              <w:adjustRightInd w:val="0"/>
              <w:snapToGrid w:val="0"/>
              <w:spacing w:before="156" w:beforeLines="50"/>
              <w:jc w:val="center"/>
              <w:rPr>
                <w:rFonts w:hint="eastAsia" w:ascii="宋体" w:hAnsi="宋体"/>
                <w:color w:val="000000"/>
                <w:szCs w:val="21"/>
              </w:rPr>
            </w:pPr>
          </w:p>
        </w:tc>
        <w:tc>
          <w:tcPr>
            <w:tcW w:w="1282" w:type="dxa"/>
            <w:vMerge w:val="continue"/>
            <w:tcBorders>
              <w:left w:val="single" w:color="auto" w:sz="4" w:space="0"/>
            </w:tcBorders>
            <w:vAlign w:val="center"/>
          </w:tcPr>
          <w:p w14:paraId="1FDED688">
            <w:pPr>
              <w:adjustRightInd w:val="0"/>
              <w:snapToGrid w:val="0"/>
              <w:jc w:val="center"/>
              <w:rPr>
                <w:rFonts w:hint="eastAsia" w:ascii="宋体" w:hAnsi="宋体"/>
                <w:color w:val="000000"/>
                <w:szCs w:val="21"/>
              </w:rPr>
            </w:pPr>
          </w:p>
        </w:tc>
        <w:tc>
          <w:tcPr>
            <w:tcW w:w="1367" w:type="dxa"/>
            <w:vAlign w:val="center"/>
          </w:tcPr>
          <w:p w14:paraId="60F78283">
            <w:pPr>
              <w:spacing w:line="320" w:lineRule="exact"/>
              <w:jc w:val="center"/>
              <w:rPr>
                <w:rFonts w:ascii="宋体" w:hAnsi="宋体"/>
                <w:color w:val="000000"/>
                <w:szCs w:val="21"/>
              </w:rPr>
            </w:pPr>
            <w:r>
              <w:rPr>
                <w:rFonts w:hint="eastAsia" w:ascii="宋体" w:hAnsi="宋体"/>
                <w:color w:val="000000"/>
                <w:szCs w:val="21"/>
              </w:rPr>
              <w:t>售后服务方案</w:t>
            </w:r>
          </w:p>
          <w:p w14:paraId="1F88D7AA">
            <w:pPr>
              <w:spacing w:line="320" w:lineRule="exact"/>
              <w:jc w:val="center"/>
              <w:rPr>
                <w:rFonts w:hint="eastAsia" w:ascii="宋体" w:hAnsi="宋体" w:cs="Times New Roman"/>
                <w:color w:val="000000"/>
                <w:szCs w:val="21"/>
              </w:rPr>
            </w:pPr>
            <w:r>
              <w:rPr>
                <w:rFonts w:ascii="宋体" w:hAnsi="宋体"/>
                <w:color w:val="000000"/>
                <w:szCs w:val="21"/>
              </w:rPr>
              <w:t>5</w:t>
            </w:r>
            <w:r>
              <w:rPr>
                <w:rFonts w:hint="eastAsia" w:ascii="宋体" w:hAnsi="宋体"/>
                <w:color w:val="000000"/>
                <w:szCs w:val="21"/>
              </w:rPr>
              <w:t>分</w:t>
            </w:r>
          </w:p>
        </w:tc>
        <w:tc>
          <w:tcPr>
            <w:tcW w:w="6612" w:type="dxa"/>
            <w:tcBorders>
              <w:bottom w:val="single" w:color="auto" w:sz="4" w:space="0"/>
            </w:tcBorders>
          </w:tcPr>
          <w:p w14:paraId="352FA39B">
            <w:pPr>
              <w:spacing w:line="360" w:lineRule="exact"/>
              <w:rPr>
                <w:rFonts w:hint="eastAsia" w:ascii="宋体" w:hAnsi="宋体" w:cs="宋体"/>
                <w:color w:val="000000"/>
                <w:szCs w:val="24"/>
              </w:rPr>
            </w:pPr>
            <w:bookmarkStart w:id="0" w:name="OLE_LINK13"/>
            <w:bookmarkStart w:id="1" w:name="OLE_LINK12"/>
            <w:r>
              <w:rPr>
                <w:rFonts w:hint="eastAsia" w:ascii="宋体" w:hAnsi="宋体" w:cs="宋体"/>
                <w:color w:val="000000"/>
              </w:rPr>
              <w:t>根据投标人提供的售后服务方案的合理可行性及完善程度进行综合评分（共</w:t>
            </w:r>
            <w:r>
              <w:rPr>
                <w:rFonts w:ascii="宋体" w:hAnsi="宋体" w:cs="宋体"/>
                <w:color w:val="000000"/>
              </w:rPr>
              <w:t>_5_</w:t>
            </w:r>
            <w:r>
              <w:rPr>
                <w:rFonts w:hint="eastAsia" w:ascii="宋体" w:hAnsi="宋体" w:cs="宋体"/>
                <w:color w:val="000000"/>
              </w:rPr>
              <w:t>分）：</w:t>
            </w:r>
          </w:p>
          <w:p w14:paraId="33D2C92A">
            <w:pPr>
              <w:spacing w:line="360" w:lineRule="exact"/>
              <w:rPr>
                <w:rFonts w:hint="eastAsia" w:ascii="宋体" w:hAnsi="宋体" w:cs="宋体"/>
                <w:color w:val="000000"/>
              </w:rPr>
            </w:pPr>
            <w:r>
              <w:rPr>
                <w:rFonts w:hint="eastAsia" w:ascii="宋体" w:hAnsi="宋体" w:cs="宋体"/>
                <w:color w:val="000000"/>
              </w:rPr>
              <w:t>评分标准：</w:t>
            </w:r>
          </w:p>
          <w:p w14:paraId="70EE3D39">
            <w:pPr>
              <w:pStyle w:val="11"/>
              <w:ind w:left="33" w:firstLine="0" w:firstLineChars="0"/>
              <w:rPr>
                <w:rFonts w:hint="eastAsia" w:ascii="宋体" w:hAnsi="宋体" w:cs="宋体"/>
                <w:color w:val="000000"/>
                <w:szCs w:val="22"/>
              </w:rPr>
            </w:pPr>
            <w:r>
              <w:rPr>
                <w:rFonts w:hint="eastAsia" w:ascii="宋体" w:hAnsi="宋体" w:cs="宋体"/>
                <w:color w:val="000000"/>
                <w:szCs w:val="22"/>
              </w:rPr>
              <w:t>投标人所提供的售后服务方案应包括且不限于①有完整的售后服务体系；②按时供货保障措施；③设备安装调试方案；④对操作人员培训方案；⑤明确维修响应时间与技术支持等内容。</w:t>
            </w:r>
          </w:p>
          <w:p w14:paraId="1089B01E">
            <w:pPr>
              <w:pStyle w:val="11"/>
              <w:ind w:left="33" w:firstLine="0" w:firstLineChars="0"/>
              <w:rPr>
                <w:rFonts w:hint="eastAsia" w:ascii="宋体" w:hAnsi="宋体" w:cs="宋体"/>
                <w:color w:val="000000"/>
                <w:szCs w:val="22"/>
              </w:rPr>
            </w:pPr>
            <w:r>
              <w:rPr>
                <w:rFonts w:hint="eastAsia" w:ascii="宋体" w:hAnsi="宋体" w:cs="宋体"/>
                <w:color w:val="000000"/>
                <w:szCs w:val="22"/>
              </w:rPr>
              <w:t>方案完整无缺漏的计_</w:t>
            </w:r>
            <w:r>
              <w:rPr>
                <w:rFonts w:ascii="宋体" w:hAnsi="宋体" w:cs="宋体"/>
                <w:color w:val="000000"/>
                <w:szCs w:val="22"/>
              </w:rPr>
              <w:t>5</w:t>
            </w:r>
            <w:r>
              <w:rPr>
                <w:rFonts w:hint="eastAsia" w:ascii="宋体" w:hAnsi="宋体" w:cs="宋体"/>
                <w:color w:val="000000"/>
                <w:szCs w:val="22"/>
              </w:rPr>
              <w:t>_分，有缺漏的每处扣</w:t>
            </w:r>
            <w:r>
              <w:rPr>
                <w:rFonts w:ascii="宋体" w:hAnsi="宋体" w:cs="宋体"/>
                <w:color w:val="000000"/>
                <w:szCs w:val="22"/>
              </w:rPr>
              <w:t>1</w:t>
            </w:r>
            <w:r>
              <w:rPr>
                <w:rFonts w:hint="eastAsia" w:ascii="宋体" w:hAnsi="宋体" w:cs="宋体"/>
                <w:color w:val="000000"/>
                <w:szCs w:val="22"/>
              </w:rPr>
              <w:t>分，最高扣5分。</w:t>
            </w:r>
            <w:bookmarkEnd w:id="0"/>
            <w:bookmarkEnd w:id="1"/>
          </w:p>
        </w:tc>
      </w:tr>
    </w:tbl>
    <w:p w14:paraId="350533DC">
      <w:pPr>
        <w:rPr>
          <w:rFonts w:hint="eastAsia"/>
        </w:rPr>
      </w:pPr>
    </w:p>
    <w:p w14:paraId="3FE5C810"/>
    <w:p w14:paraId="4E18FF0E"/>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auto"/>
    <w:pitch w:val="default"/>
    <w:sig w:usb0="00000001" w:usb1="080E0000" w:usb2="00000000" w:usb3="00000000" w:csb0="00040000" w:csb1="00000000"/>
  </w:font>
  <w:font w:name="新宋体">
    <w:panose1 w:val="02010609030101010101"/>
    <w:charset w:val="86"/>
    <w:family w:val="modern"/>
    <w:pitch w:val="default"/>
    <w:sig w:usb0="00000003" w:usb1="288F0000" w:usb2="0000000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8CE96D5"/>
    <w:multiLevelType w:val="multilevel"/>
    <w:tmpl w:val="88CE96D5"/>
    <w:lvl w:ilvl="0" w:tentative="0">
      <w:start w:val="1"/>
      <w:numFmt w:val="chineseCounting"/>
      <w:pStyle w:val="2"/>
      <w:suff w:val="nothing"/>
      <w:lvlText w:val="第%1章 "/>
      <w:lvlJc w:val="left"/>
      <w:pPr>
        <w:tabs>
          <w:tab w:val="left" w:pos="0"/>
        </w:tabs>
        <w:ind w:left="0" w:firstLine="402"/>
      </w:pPr>
      <w:rPr>
        <w:rFonts w:hint="eastAsia" w:ascii="方正小标宋简体" w:hAnsi="方正小标宋简体" w:eastAsia="方正小标宋简体"/>
      </w:rPr>
    </w:lvl>
    <w:lvl w:ilvl="1" w:tentative="0">
      <w:start w:val="1"/>
      <w:numFmt w:val="chineseCounting"/>
      <w:suff w:val="nothing"/>
      <w:lvlText w:val="%2、"/>
      <w:lvlJc w:val="left"/>
      <w:pPr>
        <w:ind w:left="0" w:firstLine="402"/>
      </w:pPr>
      <w:rPr>
        <w:rFonts w:hint="eastAsia"/>
      </w:rPr>
    </w:lvl>
    <w:lvl w:ilvl="2" w:tentative="0">
      <w:start w:val="1"/>
      <w:numFmt w:val="decimal"/>
      <w:suff w:val="nothing"/>
      <w:lvlText w:val="%3．"/>
      <w:lvlJc w:val="left"/>
      <w:pPr>
        <w:ind w:left="0" w:firstLine="402"/>
      </w:pPr>
      <w:rPr>
        <w:rFonts w:hint="eastAsia"/>
      </w:rPr>
    </w:lvl>
    <w:lvl w:ilvl="3" w:tentative="0">
      <w:start w:val="1"/>
      <w:numFmt w:val="decimal"/>
      <w:suff w:val="nothing"/>
      <w:lvlText w:val="（%4）"/>
      <w:lvlJc w:val="left"/>
      <w:pPr>
        <w:ind w:left="0" w:firstLine="402"/>
      </w:pPr>
      <w:rPr>
        <w:rFonts w:hint="eastAsia"/>
      </w:rPr>
    </w:lvl>
    <w:lvl w:ilvl="4" w:tentative="0">
      <w:start w:val="1"/>
      <w:numFmt w:val="decimalEnclosedCircleChinese"/>
      <w:suff w:val="nothing"/>
      <w:lvlText w:val="%5 "/>
      <w:lvlJc w:val="left"/>
      <w:pPr>
        <w:ind w:left="0" w:firstLine="402"/>
      </w:pPr>
      <w:rPr>
        <w:rFonts w:hint="eastAsia"/>
      </w:rPr>
    </w:lvl>
    <w:lvl w:ilvl="5" w:tentative="0">
      <w:start w:val="1"/>
      <w:numFmt w:val="decimal"/>
      <w:suff w:val="nothing"/>
      <w:lvlText w:val="%6）"/>
      <w:lvlJc w:val="left"/>
      <w:pPr>
        <w:ind w:left="0" w:firstLine="402"/>
      </w:pPr>
      <w:rPr>
        <w:rFonts w:hint="eastAsia"/>
      </w:rPr>
    </w:lvl>
    <w:lvl w:ilvl="6" w:tentative="0">
      <w:start w:val="1"/>
      <w:numFmt w:val="lowerLetter"/>
      <w:suff w:val="nothing"/>
      <w:lvlText w:val="%7．"/>
      <w:lvlJc w:val="left"/>
      <w:pPr>
        <w:ind w:left="0" w:firstLine="402"/>
      </w:pPr>
      <w:rPr>
        <w:rFonts w:hint="eastAsia"/>
      </w:rPr>
    </w:lvl>
    <w:lvl w:ilvl="7" w:tentative="0">
      <w:start w:val="1"/>
      <w:numFmt w:val="lowerLetter"/>
      <w:suff w:val="nothing"/>
      <w:lvlText w:val="%8）"/>
      <w:lvlJc w:val="left"/>
      <w:pPr>
        <w:ind w:left="0" w:firstLine="402"/>
      </w:pPr>
      <w:rPr>
        <w:rFonts w:hint="eastAsia"/>
      </w:rPr>
    </w:lvl>
    <w:lvl w:ilvl="8" w:tentative="0">
      <w:start w:val="1"/>
      <w:numFmt w:val="lowerRoman"/>
      <w:suff w:val="nothing"/>
      <w:lvlText w:val="%9. "/>
      <w:lvlJc w:val="left"/>
      <w:pPr>
        <w:ind w:left="0" w:firstLine="402"/>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57"/>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2123BCB"/>
    <w:rsid w:val="04C3056B"/>
    <w:rsid w:val="13787DD4"/>
    <w:rsid w:val="17305CAD"/>
    <w:rsid w:val="21E020C6"/>
    <w:rsid w:val="235A5E8C"/>
    <w:rsid w:val="28BC3DB9"/>
    <w:rsid w:val="30A777F8"/>
    <w:rsid w:val="320F1208"/>
    <w:rsid w:val="51C02B44"/>
    <w:rsid w:val="5F6D3E61"/>
    <w:rsid w:val="681151C8"/>
    <w:rsid w:val="6A77513B"/>
    <w:rsid w:val="72123BCB"/>
    <w:rsid w:val="797C43F6"/>
    <w:rsid w:val="7ABA4368"/>
    <w:rsid w:val="7BDB201C"/>
    <w:rsid w:val="7F9B490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numPr>
        <w:ilvl w:val="0"/>
        <w:numId w:val="1"/>
      </w:numPr>
      <w:spacing w:before="340" w:beforeLines="0" w:beforeAutospacing="0" w:after="330" w:afterLines="0" w:afterAutospacing="0" w:line="576" w:lineRule="auto"/>
      <w:ind w:firstLine="0"/>
      <w:jc w:val="center"/>
      <w:outlineLvl w:val="0"/>
    </w:pPr>
    <w:rPr>
      <w:rFonts w:ascii="Times New Roman" w:hAnsi="Times New Roman" w:eastAsia="方正小标宋简体" w:cs="Times New Roman"/>
      <w:b/>
      <w:kern w:val="44"/>
      <w:sz w:val="32"/>
    </w:rPr>
  </w:style>
  <w:style w:type="paragraph" w:styleId="3">
    <w:name w:val="heading 2"/>
    <w:basedOn w:val="1"/>
    <w:next w:val="1"/>
    <w:semiHidden/>
    <w:unhideWhenUsed/>
    <w:qFormat/>
    <w:uiPriority w:val="0"/>
    <w:pPr>
      <w:keepNext/>
      <w:keepLines/>
      <w:spacing w:before="260" w:beforeLines="0" w:beforeAutospacing="0" w:after="260" w:afterLines="0" w:afterAutospacing="0" w:line="360" w:lineRule="auto"/>
      <w:outlineLvl w:val="1"/>
    </w:pPr>
    <w:rPr>
      <w:rFonts w:ascii="Arial" w:hAnsi="Arial" w:eastAsia="黑体" w:cs="Times New Roman"/>
      <w:b/>
      <w:sz w:val="30"/>
    </w:rPr>
  </w:style>
  <w:style w:type="paragraph" w:styleId="4">
    <w:name w:val="heading 3"/>
    <w:basedOn w:val="1"/>
    <w:next w:val="1"/>
    <w:semiHidden/>
    <w:unhideWhenUsed/>
    <w:qFormat/>
    <w:uiPriority w:val="0"/>
    <w:pPr>
      <w:keepNext/>
      <w:keepLines/>
      <w:spacing w:line="360" w:lineRule="auto"/>
      <w:outlineLvl w:val="2"/>
    </w:pPr>
    <w:rPr>
      <w:rFonts w:ascii="黑体" w:hAnsi="黑体" w:eastAsia="黑体" w:cs="Times New Roman"/>
      <w:b/>
      <w:bCs/>
      <w:sz w:val="28"/>
      <w:szCs w:val="32"/>
    </w:rPr>
  </w:style>
  <w:style w:type="paragraph" w:styleId="5">
    <w:name w:val="heading 4"/>
    <w:basedOn w:val="1"/>
    <w:next w:val="1"/>
    <w:semiHidden/>
    <w:unhideWhenUsed/>
    <w:qFormat/>
    <w:uiPriority w:val="0"/>
    <w:pPr>
      <w:keepNext/>
      <w:keepLines/>
      <w:spacing w:line="360" w:lineRule="auto"/>
      <w:ind w:firstLine="723" w:firstLineChars="100"/>
      <w:outlineLvl w:val="3"/>
    </w:pPr>
    <w:rPr>
      <w:rFonts w:ascii="宋体" w:hAnsi="宋体" w:eastAsia="宋体" w:cs="Times New Roman"/>
      <w:b/>
      <w:bCs/>
      <w:sz w:val="28"/>
      <w:szCs w:val="28"/>
    </w:rPr>
  </w:style>
  <w:style w:type="paragraph" w:styleId="6">
    <w:name w:val="heading 5"/>
    <w:basedOn w:val="1"/>
    <w:next w:val="1"/>
    <w:semiHidden/>
    <w:unhideWhenUsed/>
    <w:qFormat/>
    <w:uiPriority w:val="0"/>
    <w:pPr>
      <w:spacing w:before="0" w:beforeAutospacing="1" w:after="0" w:afterAutospacing="1"/>
      <w:jc w:val="left"/>
      <w:outlineLvl w:val="4"/>
    </w:pPr>
    <w:rPr>
      <w:rFonts w:hint="eastAsia" w:ascii="宋体" w:hAnsi="宋体" w:eastAsia="宋体" w:cs="宋体"/>
      <w:b/>
      <w:bCs/>
      <w:kern w:val="0"/>
      <w:sz w:val="24"/>
      <w:szCs w:val="20"/>
      <w:lang w:bidi="ar"/>
    </w:rPr>
  </w:style>
  <w:style w:type="paragraph" w:styleId="7">
    <w:name w:val="heading 6"/>
    <w:basedOn w:val="1"/>
    <w:next w:val="1"/>
    <w:semiHidden/>
    <w:unhideWhenUsed/>
    <w:qFormat/>
    <w:uiPriority w:val="0"/>
    <w:pPr>
      <w:keepNext/>
      <w:keepLines/>
      <w:spacing w:beforeLines="0" w:beforeAutospacing="0" w:afterLines="0" w:afterAutospacing="0" w:line="360" w:lineRule="auto"/>
      <w:ind w:firstLine="1446" w:firstLineChars="200"/>
      <w:outlineLvl w:val="5"/>
    </w:pPr>
    <w:rPr>
      <w:rFonts w:ascii="宋体" w:hAnsi="宋体" w:eastAsia="宋体" w:cs="Times New Roman"/>
      <w:b/>
      <w:sz w:val="28"/>
    </w:rPr>
  </w:style>
  <w:style w:type="paragraph" w:styleId="8">
    <w:name w:val="heading 7"/>
    <w:basedOn w:val="1"/>
    <w:next w:val="1"/>
    <w:semiHidden/>
    <w:unhideWhenUsed/>
    <w:qFormat/>
    <w:uiPriority w:val="0"/>
    <w:pPr>
      <w:keepNext/>
      <w:keepLines/>
      <w:spacing w:beforeLines="0" w:beforeAutospacing="0" w:afterLines="0" w:afterAutospacing="0" w:line="360" w:lineRule="auto"/>
      <w:ind w:firstLine="1446" w:firstLineChars="200"/>
      <w:outlineLvl w:val="6"/>
    </w:pPr>
    <w:rPr>
      <w:rFonts w:ascii="宋体" w:hAnsi="宋体" w:eastAsia="宋体" w:cs="Times New Roman"/>
      <w:b/>
      <w:sz w:val="28"/>
    </w:rPr>
  </w:style>
  <w:style w:type="character" w:default="1" w:styleId="10">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customStyle="1" w:styleId="11">
    <w:name w:val="列出段落1"/>
    <w:basedOn w:val="1"/>
    <w:qFormat/>
    <w:uiPriority w:val="34"/>
    <w:pPr>
      <w:ind w:firstLine="420" w:firstLineChars="200"/>
    </w:pPr>
    <w:rPr>
      <w:rFonts w:ascii="Times New Roman" w:hAnsi="Times New Roman" w:eastAsia="宋体" w:cs="Times New Roman"/>
      <w:szCs w:val="21"/>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2025-10-13T07:25:00Z</dcterms:created>
  <dc:creator>sisi</dc:creator>
  <cp:lastModifiedBy>sisi</cp:lastModifiedBy>
  <dcterms:modified xsi:type="dcterms:W3CDTF">2025-10-13T07:31:46Z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2963F7E721A948CB9121F48075619BB7_11</vt:lpwstr>
  </property>
  <property fmtid="{D5CDD505-2E9C-101B-9397-08002B2CF9AE}" pid="4" name="KSOTemplateDocerSaveRecord">
    <vt:lpwstr>eyJoZGlkIjoiMTFmODRhMGJkZjg0NGIyZDNkOTRkNTBmMmY5ZTU4MTkiLCJ1c2VySWQiOiIzMjE3MDI0MzYifQ==</vt:lpwstr>
  </property>
</Properties>
</file>